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907357">
      <w:pPr>
        <w:keepNext w:val="0"/>
        <w:keepLines w:val="0"/>
        <w:pageBreakBefore w:val="0"/>
        <w:widowControl w:val="0"/>
        <w:wordWrap/>
        <w:topLinePunct w:val="0"/>
        <w:bidi w:val="0"/>
        <w:jc w:val="center"/>
        <w:rPr>
          <w:rFonts w:hint="default" w:ascii="Times New Roman" w:hAnsi="Times New Roman" w:cs="Times New Roman"/>
          <w:b/>
          <w:color w:val="auto"/>
          <w:sz w:val="48"/>
          <w:highlight w:val="none"/>
        </w:rPr>
      </w:pPr>
      <w:bookmarkStart w:id="0" w:name="_Hlk57883707"/>
    </w:p>
    <w:p w14:paraId="35C39FB2">
      <w:pPr>
        <w:keepNext w:val="0"/>
        <w:keepLines w:val="0"/>
        <w:pageBreakBefore w:val="0"/>
        <w:widowControl w:val="0"/>
        <w:wordWrap/>
        <w:topLinePunct w:val="0"/>
        <w:bidi w:val="0"/>
        <w:jc w:val="center"/>
        <w:rPr>
          <w:rFonts w:hint="default" w:ascii="Times New Roman" w:hAnsi="Times New Roman" w:cs="Times New Roman"/>
          <w:b/>
          <w:color w:val="auto"/>
          <w:sz w:val="48"/>
          <w:highlight w:val="none"/>
        </w:rPr>
      </w:pPr>
    </w:p>
    <w:p w14:paraId="34225A94">
      <w:pPr>
        <w:pStyle w:val="22"/>
        <w:keepNext w:val="0"/>
        <w:keepLines w:val="0"/>
        <w:pageBreakBefore w:val="0"/>
        <w:widowControl w:val="0"/>
        <w:wordWrap/>
        <w:topLinePunct w:val="0"/>
        <w:bidi w:val="0"/>
        <w:rPr>
          <w:rFonts w:hint="default" w:ascii="Times New Roman" w:hAnsi="Times New Roman" w:cs="Times New Roman"/>
          <w:color w:val="auto"/>
          <w:highlight w:val="none"/>
        </w:rPr>
      </w:pPr>
    </w:p>
    <w:p w14:paraId="40FFFB11">
      <w:pPr>
        <w:keepNext w:val="0"/>
        <w:keepLines w:val="0"/>
        <w:pageBreakBefore w:val="0"/>
        <w:widowControl w:val="0"/>
        <w:wordWrap/>
        <w:topLinePunct w:val="0"/>
        <w:bidi w:val="0"/>
        <w:jc w:val="center"/>
        <w:rPr>
          <w:rFonts w:hint="default" w:ascii="Times New Roman" w:hAnsi="Times New Roman" w:cs="Times New Roman"/>
          <w:b/>
          <w:color w:val="auto"/>
          <w:sz w:val="48"/>
          <w:highlight w:val="none"/>
        </w:rPr>
      </w:pPr>
      <w:r>
        <w:rPr>
          <w:rFonts w:hint="default" w:ascii="Times New Roman" w:hAnsi="Times New Roman" w:cs="Times New Roman"/>
          <w:b/>
          <w:color w:val="auto"/>
          <w:sz w:val="48"/>
          <w:highlight w:val="none"/>
        </w:rPr>
        <w:t>建 设 项 目 环 境 影 响 报 告 表</w:t>
      </w:r>
    </w:p>
    <w:p w14:paraId="2E609A2C">
      <w:pPr>
        <w:keepNext w:val="0"/>
        <w:keepLines w:val="0"/>
        <w:pageBreakBefore w:val="0"/>
        <w:widowControl w:val="0"/>
        <w:wordWrap/>
        <w:topLinePunct w:val="0"/>
        <w:bidi w:val="0"/>
        <w:adjustRightInd w:val="0"/>
        <w:snapToGrid w:val="0"/>
        <w:spacing w:before="192" w:beforeLines="80"/>
        <w:jc w:val="center"/>
        <w:rPr>
          <w:rFonts w:hint="default" w:ascii="Times New Roman" w:hAnsi="Times New Roman" w:eastAsia="楷体_GB2312" w:cs="Times New Roman"/>
          <w:bCs/>
          <w:color w:val="auto"/>
          <w:sz w:val="36"/>
          <w:szCs w:val="36"/>
          <w:highlight w:val="none"/>
        </w:rPr>
      </w:pPr>
    </w:p>
    <w:p w14:paraId="56705C7D">
      <w:pPr>
        <w:keepNext w:val="0"/>
        <w:keepLines w:val="0"/>
        <w:pageBreakBefore w:val="0"/>
        <w:widowControl w:val="0"/>
        <w:wordWrap/>
        <w:topLinePunct w:val="0"/>
        <w:bidi w:val="0"/>
        <w:adjustRightInd w:val="0"/>
        <w:snapToGrid w:val="0"/>
        <w:spacing w:line="288" w:lineRule="auto"/>
        <w:rPr>
          <w:rFonts w:hint="default" w:ascii="Times New Roman" w:hAnsi="Times New Roman" w:eastAsia="华文仿宋" w:cs="Times New Roman"/>
          <w:color w:val="auto"/>
          <w:kern w:val="44"/>
          <w:sz w:val="44"/>
          <w:szCs w:val="44"/>
          <w:highlight w:val="none"/>
        </w:rPr>
      </w:pPr>
    </w:p>
    <w:p w14:paraId="5FAC47DE">
      <w:pPr>
        <w:keepNext w:val="0"/>
        <w:keepLines w:val="0"/>
        <w:pageBreakBefore w:val="0"/>
        <w:widowControl w:val="0"/>
        <w:wordWrap/>
        <w:topLinePunct w:val="0"/>
        <w:bidi w:val="0"/>
        <w:rPr>
          <w:rFonts w:hint="default" w:ascii="Times New Roman" w:hAnsi="Times New Roman" w:eastAsia="仿宋" w:cs="Times New Roman"/>
          <w:color w:val="auto"/>
          <w:sz w:val="52"/>
          <w:szCs w:val="52"/>
          <w:highlight w:val="none"/>
        </w:rPr>
      </w:pPr>
    </w:p>
    <w:p w14:paraId="01A3A5A7">
      <w:pPr>
        <w:keepNext w:val="0"/>
        <w:keepLines w:val="0"/>
        <w:pageBreakBefore w:val="0"/>
        <w:widowControl w:val="0"/>
        <w:wordWrap/>
        <w:topLinePunct w:val="0"/>
        <w:bidi w:val="0"/>
        <w:ind w:firstLine="1040"/>
        <w:rPr>
          <w:rFonts w:hint="default" w:ascii="Times New Roman" w:hAnsi="Times New Roman" w:eastAsia="仿宋" w:cs="Times New Roman"/>
          <w:color w:val="auto"/>
          <w:sz w:val="44"/>
          <w:szCs w:val="44"/>
          <w:highlight w:val="none"/>
        </w:rPr>
      </w:pPr>
    </w:p>
    <w:p w14:paraId="72E32724">
      <w:pPr>
        <w:keepNext w:val="0"/>
        <w:keepLines w:val="0"/>
        <w:pageBreakBefore w:val="0"/>
        <w:widowControl w:val="0"/>
        <w:wordWrap/>
        <w:topLinePunct w:val="0"/>
        <w:bidi w:val="0"/>
        <w:rPr>
          <w:rFonts w:hint="default" w:ascii="Times New Roman" w:hAnsi="Times New Roman" w:eastAsia="仿宋" w:cs="Times New Roman"/>
          <w:color w:val="auto"/>
          <w:sz w:val="44"/>
          <w:szCs w:val="44"/>
          <w:highlight w:val="none"/>
        </w:rPr>
      </w:pPr>
    </w:p>
    <w:p w14:paraId="429BC210">
      <w:pPr>
        <w:keepNext w:val="0"/>
        <w:keepLines w:val="0"/>
        <w:pageBreakBefore w:val="0"/>
        <w:widowControl w:val="0"/>
        <w:wordWrap/>
        <w:topLinePunct w:val="0"/>
        <w:bidi w:val="0"/>
        <w:rPr>
          <w:rFonts w:hint="default" w:ascii="Times New Roman" w:hAnsi="Times New Roman" w:cs="Times New Roman"/>
          <w:color w:val="auto"/>
          <w:highlight w:val="none"/>
        </w:rPr>
      </w:pPr>
    </w:p>
    <w:p w14:paraId="034081C5">
      <w:pPr>
        <w:keepNext w:val="0"/>
        <w:keepLines w:val="0"/>
        <w:pageBreakBefore w:val="0"/>
        <w:widowControl w:val="0"/>
        <w:wordWrap/>
        <w:topLinePunct w:val="0"/>
        <w:bidi w:val="0"/>
        <w:ind w:firstLine="1040"/>
        <w:rPr>
          <w:rFonts w:hint="default" w:ascii="Times New Roman" w:hAnsi="Times New Roman" w:eastAsia="仿宋" w:cs="Times New Roman"/>
          <w:color w:val="auto"/>
          <w:sz w:val="44"/>
          <w:szCs w:val="44"/>
          <w:highlight w:val="none"/>
        </w:rPr>
      </w:pPr>
    </w:p>
    <w:p w14:paraId="4A70E9E5">
      <w:pPr>
        <w:keepNext w:val="0"/>
        <w:keepLines w:val="0"/>
        <w:pageBreakBefore w:val="0"/>
        <w:widowControl w:val="0"/>
        <w:kinsoku/>
        <w:wordWrap/>
        <w:overflowPunct/>
        <w:topLinePunct w:val="0"/>
        <w:autoSpaceDE/>
        <w:autoSpaceDN/>
        <w:bidi w:val="0"/>
        <w:adjustRightInd/>
        <w:snapToGrid/>
        <w:spacing w:line="360" w:lineRule="auto"/>
        <w:ind w:left="2102" w:leftChars="284" w:hanging="1506" w:hangingChars="500"/>
        <w:textAlignment w:val="auto"/>
        <w:rPr>
          <w:rFonts w:hint="eastAsia" w:ascii="Times New Roman" w:hAnsi="Times New Roman" w:eastAsia="宋体" w:cs="Times New Roman"/>
          <w:b/>
          <w:bCs/>
          <w:color w:val="auto"/>
          <w:sz w:val="30"/>
          <w:highlight w:val="none"/>
          <w:u w:val="single"/>
          <w:lang w:val="en-US" w:eastAsia="zh-CN"/>
        </w:rPr>
      </w:pPr>
      <w:r>
        <w:rPr>
          <w:rFonts w:hint="default" w:ascii="Times New Roman" w:hAnsi="Times New Roman" w:cs="Times New Roman"/>
          <w:b/>
          <w:bCs/>
          <w:color w:val="auto"/>
          <w:sz w:val="30"/>
          <w:szCs w:val="30"/>
          <w:highlight w:val="none"/>
        </w:rPr>
        <w:t>项目名称：</w:t>
      </w:r>
      <w:r>
        <w:rPr>
          <w:rFonts w:hint="eastAsia" w:ascii="Times New Roman" w:hAnsi="Times New Roman" w:eastAsia="宋体" w:cs="Times New Roman"/>
          <w:b/>
          <w:bCs/>
          <w:color w:val="auto"/>
          <w:sz w:val="30"/>
          <w:highlight w:val="none"/>
          <w:u w:val="single"/>
          <w:lang w:val="en-US" w:eastAsia="zh-CN"/>
        </w:rPr>
        <w:t>新疆甘泉堡400MW/1600MWh混合电化学共享储能项目</w:t>
      </w:r>
      <w:r>
        <w:rPr>
          <w:rFonts w:hint="default" w:ascii="Times New Roman" w:hAnsi="Times New Roman" w:eastAsia="宋体" w:cs="Times New Roman"/>
          <w:b/>
          <w:bCs/>
          <w:color w:val="auto"/>
          <w:sz w:val="30"/>
          <w:highlight w:val="none"/>
          <w:u w:val="single"/>
          <w:lang w:val="en-US" w:eastAsia="zh-CN"/>
        </w:rPr>
        <w:t xml:space="preserve">      </w:t>
      </w:r>
      <w:r>
        <w:rPr>
          <w:rFonts w:hint="eastAsia" w:ascii="Times New Roman" w:hAnsi="Times New Roman" w:eastAsia="宋体" w:cs="Times New Roman"/>
          <w:b/>
          <w:bCs/>
          <w:color w:val="auto"/>
          <w:sz w:val="30"/>
          <w:highlight w:val="none"/>
          <w:u w:val="single"/>
          <w:lang w:val="en-US" w:eastAsia="zh-CN"/>
        </w:rPr>
        <w:t xml:space="preserve">                                   </w:t>
      </w:r>
    </w:p>
    <w:p w14:paraId="4B722588">
      <w:pPr>
        <w:keepNext w:val="0"/>
        <w:keepLines w:val="0"/>
        <w:pageBreakBefore w:val="0"/>
        <w:widowControl w:val="0"/>
        <w:kinsoku/>
        <w:wordWrap/>
        <w:overflowPunct/>
        <w:topLinePunct w:val="0"/>
        <w:autoSpaceDE/>
        <w:autoSpaceDN/>
        <w:bidi w:val="0"/>
        <w:adjustRightInd/>
        <w:snapToGrid/>
        <w:spacing w:line="360" w:lineRule="auto"/>
        <w:ind w:left="2102" w:leftChars="284" w:hanging="1506" w:hangingChars="500"/>
        <w:textAlignment w:val="auto"/>
        <w:rPr>
          <w:rFonts w:hint="default" w:ascii="Times New Roman" w:hAnsi="Times New Roman" w:eastAsia="宋体" w:cs="Times New Roman"/>
          <w:b/>
          <w:bCs/>
          <w:color w:val="auto"/>
          <w:sz w:val="30"/>
          <w:highlight w:val="none"/>
          <w:u w:val="single"/>
          <w:lang w:val="en-US" w:eastAsia="zh-CN"/>
        </w:rPr>
      </w:pPr>
      <w:r>
        <w:rPr>
          <w:rFonts w:hint="default" w:ascii="Times New Roman" w:hAnsi="Times New Roman" w:cs="Times New Roman"/>
          <w:b/>
          <w:bCs/>
          <w:color w:val="auto"/>
          <w:sz w:val="30"/>
          <w:szCs w:val="30"/>
          <w:highlight w:val="none"/>
        </w:rPr>
        <w:t>建设单位（盖章）：</w:t>
      </w:r>
      <w:r>
        <w:rPr>
          <w:rFonts w:hint="eastAsia" w:ascii="Times New Roman" w:hAnsi="Times New Roman" w:eastAsia="宋体" w:cs="Times New Roman"/>
          <w:b/>
          <w:bCs/>
          <w:color w:val="auto"/>
          <w:sz w:val="30"/>
          <w:highlight w:val="none"/>
          <w:u w:val="single"/>
          <w:lang w:val="en-US" w:eastAsia="zh-CN"/>
        </w:rPr>
        <w:t>乌鲁木齐和芯储能有限公司</w:t>
      </w:r>
      <w:r>
        <w:rPr>
          <w:rFonts w:hint="default" w:ascii="Times New Roman" w:hAnsi="Times New Roman" w:eastAsia="宋体" w:cs="Times New Roman"/>
          <w:b/>
          <w:bCs/>
          <w:color w:val="auto"/>
          <w:sz w:val="30"/>
          <w:highlight w:val="none"/>
          <w:u w:val="single"/>
          <w:lang w:val="en-US" w:eastAsia="zh-CN"/>
        </w:rPr>
        <w:t xml:space="preserve">       </w:t>
      </w:r>
      <w:r>
        <w:rPr>
          <w:rFonts w:hint="eastAsia" w:ascii="Times New Roman" w:hAnsi="Times New Roman" w:eastAsia="宋体" w:cs="Times New Roman"/>
          <w:b/>
          <w:bCs/>
          <w:color w:val="auto"/>
          <w:sz w:val="30"/>
          <w:highlight w:val="none"/>
          <w:u w:val="single"/>
          <w:lang w:val="en-US" w:eastAsia="zh-CN"/>
        </w:rPr>
        <w:t xml:space="preserve">      </w:t>
      </w:r>
    </w:p>
    <w:p w14:paraId="0B9B6CF2">
      <w:pPr>
        <w:keepNext w:val="0"/>
        <w:keepLines w:val="0"/>
        <w:pageBreakBefore w:val="0"/>
        <w:widowControl w:val="0"/>
        <w:wordWrap/>
        <w:topLinePunct w:val="0"/>
        <w:bidi w:val="0"/>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14:paraId="268382ED">
      <w:pPr>
        <w:keepNext w:val="0"/>
        <w:keepLines w:val="0"/>
        <w:pageBreakBefore w:val="0"/>
        <w:widowControl w:val="0"/>
        <w:wordWrap/>
        <w:topLinePunct w:val="0"/>
        <w:bidi w:val="0"/>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14:paraId="41A1A2E0">
      <w:pPr>
        <w:keepNext w:val="0"/>
        <w:keepLines w:val="0"/>
        <w:pageBreakBefore w:val="0"/>
        <w:widowControl w:val="0"/>
        <w:wordWrap/>
        <w:topLinePunct w:val="0"/>
        <w:bidi w:val="0"/>
        <w:spacing w:line="360" w:lineRule="auto"/>
        <w:jc w:val="center"/>
        <w:rPr>
          <w:rFonts w:hint="default" w:ascii="Times New Roman" w:hAnsi="Times New Roman" w:cs="Times New Roman"/>
          <w:b/>
          <w:bCs/>
          <w:color w:val="auto"/>
          <w:sz w:val="30"/>
          <w:highlight w:val="none"/>
        </w:rPr>
      </w:pPr>
    </w:p>
    <w:p w14:paraId="690B9C26">
      <w:pPr>
        <w:keepNext w:val="0"/>
        <w:keepLines w:val="0"/>
        <w:pageBreakBefore w:val="0"/>
        <w:widowControl w:val="0"/>
        <w:wordWrap/>
        <w:topLinePunct w:val="0"/>
        <w:bidi w:val="0"/>
        <w:rPr>
          <w:rFonts w:hint="default" w:ascii="Times New Roman" w:hAnsi="Times New Roman" w:cs="Times New Roman"/>
          <w:b/>
          <w:bCs/>
          <w:color w:val="auto"/>
          <w:sz w:val="30"/>
          <w:highlight w:val="none"/>
        </w:rPr>
      </w:pPr>
    </w:p>
    <w:p w14:paraId="7F25524C">
      <w:pPr>
        <w:pStyle w:val="22"/>
        <w:keepNext w:val="0"/>
        <w:keepLines w:val="0"/>
        <w:pageBreakBefore w:val="0"/>
        <w:widowControl w:val="0"/>
        <w:wordWrap/>
        <w:topLinePunct w:val="0"/>
        <w:bidi w:val="0"/>
        <w:rPr>
          <w:rFonts w:hint="default" w:ascii="Times New Roman" w:hAnsi="Times New Roman" w:cs="Times New Roman"/>
          <w:b/>
          <w:bCs/>
          <w:color w:val="auto"/>
          <w:sz w:val="30"/>
          <w:highlight w:val="none"/>
        </w:rPr>
      </w:pPr>
    </w:p>
    <w:p w14:paraId="4BF01872">
      <w:pPr>
        <w:keepNext w:val="0"/>
        <w:keepLines w:val="0"/>
        <w:pageBreakBefore w:val="0"/>
        <w:widowControl w:val="0"/>
        <w:wordWrap/>
        <w:topLinePunct w:val="0"/>
        <w:bidi w:val="0"/>
        <w:rPr>
          <w:rFonts w:hint="default" w:ascii="Times New Roman" w:hAnsi="Times New Roman" w:cs="Times New Roman"/>
          <w:color w:val="auto"/>
          <w:highlight w:val="none"/>
        </w:rPr>
      </w:pPr>
    </w:p>
    <w:p w14:paraId="1E22FF5D">
      <w:pPr>
        <w:pStyle w:val="22"/>
        <w:keepNext w:val="0"/>
        <w:keepLines w:val="0"/>
        <w:pageBreakBefore w:val="0"/>
        <w:widowControl w:val="0"/>
        <w:wordWrap/>
        <w:topLinePunct w:val="0"/>
        <w:bidi w:val="0"/>
        <w:rPr>
          <w:rFonts w:hint="default" w:ascii="Times New Roman" w:hAnsi="Times New Roman" w:cs="Times New Roman"/>
          <w:color w:val="auto"/>
          <w:highlight w:val="none"/>
        </w:rPr>
      </w:pPr>
    </w:p>
    <w:p w14:paraId="44CB4C39">
      <w:pPr>
        <w:keepNext w:val="0"/>
        <w:keepLines w:val="0"/>
        <w:pageBreakBefore w:val="0"/>
        <w:widowControl w:val="0"/>
        <w:wordWrap/>
        <w:topLinePunct w:val="0"/>
        <w:bidi w:val="0"/>
        <w:rPr>
          <w:rFonts w:hint="default" w:ascii="Times New Roman" w:hAnsi="Times New Roman" w:cs="Times New Roman"/>
          <w:color w:val="auto"/>
          <w:highlight w:val="none"/>
        </w:rPr>
      </w:pPr>
    </w:p>
    <w:p w14:paraId="1F5BD50F">
      <w:pPr>
        <w:keepNext w:val="0"/>
        <w:keepLines w:val="0"/>
        <w:pageBreakBefore w:val="0"/>
        <w:widowControl w:val="0"/>
        <w:wordWrap/>
        <w:topLinePunct w:val="0"/>
        <w:bidi w:val="0"/>
        <w:rPr>
          <w:rFonts w:hint="default" w:ascii="Times New Roman" w:hAnsi="Times New Roman" w:cs="Times New Roman"/>
          <w:color w:val="auto"/>
          <w:highlight w:val="none"/>
        </w:rPr>
      </w:pPr>
    </w:p>
    <w:p w14:paraId="595A8AB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color w:val="auto"/>
          <w:sz w:val="30"/>
          <w:highlight w:val="none"/>
        </w:rPr>
      </w:pPr>
    </w:p>
    <w:p w14:paraId="33F573E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color w:val="auto"/>
          <w:sz w:val="30"/>
          <w:highlight w:val="none"/>
        </w:rPr>
      </w:pPr>
      <w:r>
        <w:rPr>
          <w:rFonts w:hint="default" w:ascii="Times New Roman" w:hAnsi="Times New Roman" w:cs="Times New Roman"/>
          <w:b/>
          <w:bCs/>
          <w:color w:val="auto"/>
          <w:sz w:val="30"/>
          <w:highlight w:val="none"/>
        </w:rPr>
        <w:t>编制单位：乌鲁木齐湘永丽景环保科技有限公司</w:t>
      </w:r>
    </w:p>
    <w:p w14:paraId="3CEAF0FB">
      <w:pPr>
        <w:keepNext w:val="0"/>
        <w:keepLines w:val="0"/>
        <w:pageBreakBefore w:val="0"/>
        <w:widowControl w:val="0"/>
        <w:wordWrap/>
        <w:topLinePunct w:val="0"/>
        <w:bidi w:val="0"/>
        <w:spacing w:line="360" w:lineRule="auto"/>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30"/>
          <w:highlight w:val="none"/>
        </w:rPr>
        <w:t>编制日期：</w:t>
      </w:r>
      <w:r>
        <w:rPr>
          <w:rFonts w:hint="default" w:ascii="Times New Roman" w:hAnsi="Times New Roman" w:cs="Times New Roman"/>
          <w:b/>
          <w:bCs/>
          <w:color w:val="auto"/>
          <w:sz w:val="30"/>
          <w:highlight w:val="none"/>
          <w:lang w:val="en-US" w:eastAsia="zh-CN"/>
        </w:rPr>
        <w:t>202</w:t>
      </w:r>
      <w:r>
        <w:rPr>
          <w:rFonts w:hint="eastAsia" w:cs="Times New Roman"/>
          <w:b/>
          <w:bCs/>
          <w:color w:val="auto"/>
          <w:sz w:val="30"/>
          <w:highlight w:val="none"/>
          <w:lang w:val="en-US" w:eastAsia="zh-CN"/>
        </w:rPr>
        <w:t>4</w:t>
      </w:r>
      <w:r>
        <w:rPr>
          <w:rFonts w:hint="default" w:ascii="Times New Roman" w:hAnsi="Times New Roman" w:cs="Times New Roman"/>
          <w:b/>
          <w:bCs/>
          <w:color w:val="auto"/>
          <w:sz w:val="30"/>
          <w:highlight w:val="none"/>
        </w:rPr>
        <w:t>年</w:t>
      </w:r>
      <w:r>
        <w:rPr>
          <w:rFonts w:hint="eastAsia" w:cs="Times New Roman"/>
          <w:b/>
          <w:bCs/>
          <w:color w:val="auto"/>
          <w:sz w:val="30"/>
          <w:highlight w:val="none"/>
          <w:lang w:val="en-US" w:eastAsia="zh-CN"/>
        </w:rPr>
        <w:t>8</w:t>
      </w:r>
      <w:r>
        <w:rPr>
          <w:rFonts w:hint="default" w:ascii="Times New Roman" w:hAnsi="Times New Roman" w:cs="Times New Roman"/>
          <w:b/>
          <w:bCs/>
          <w:color w:val="auto"/>
          <w:sz w:val="30"/>
          <w:highlight w:val="none"/>
        </w:rPr>
        <w:t>月</w:t>
      </w:r>
      <w:bookmarkEnd w:id="0"/>
    </w:p>
    <w:p w14:paraId="70A7B5B3">
      <w:pPr>
        <w:keepNext w:val="0"/>
        <w:keepLines w:val="0"/>
        <w:pageBreakBefore w:val="0"/>
        <w:widowControl w:val="0"/>
        <w:wordWrap/>
        <w:topLinePunct w:val="0"/>
        <w:bidi w:val="0"/>
        <w:ind w:firstLine="1054" w:firstLineChars="500"/>
        <w:rPr>
          <w:rFonts w:hint="default" w:ascii="Times New Roman" w:hAnsi="Times New Roman" w:cs="Times New Roman"/>
          <w:b/>
          <w:bCs/>
          <w:color w:val="auto"/>
          <w:sz w:val="21"/>
          <w:szCs w:val="21"/>
          <w:highlight w:val="none"/>
          <w:lang w:val="en-US" w:eastAsia="zh-CN"/>
        </w:rPr>
      </w:pPr>
    </w:p>
    <w:p w14:paraId="4E721004">
      <w:pPr>
        <w:keepNext w:val="0"/>
        <w:keepLines w:val="0"/>
        <w:pageBreakBefore w:val="0"/>
        <w:widowControl w:val="0"/>
        <w:wordWrap/>
        <w:topLinePunct w:val="0"/>
        <w:bidi w:val="0"/>
        <w:jc w:val="center"/>
        <w:rPr>
          <w:rFonts w:hint="default" w:ascii="Times New Roman" w:hAnsi="Times New Roman" w:cs="Times New Roman"/>
          <w:b/>
          <w:bCs/>
          <w:color w:val="auto"/>
          <w:sz w:val="24"/>
          <w:szCs w:val="24"/>
          <w:highlight w:val="none"/>
          <w:lang w:val="en-US" w:eastAsia="zh-CN"/>
        </w:rPr>
      </w:pPr>
    </w:p>
    <w:p w14:paraId="5EA1A52B">
      <w:pPr>
        <w:ind w:left="420" w:hanging="420" w:hangingChars="200"/>
        <w:rPr>
          <w:rFonts w:hint="eastAsia" w:eastAsia="宋体"/>
          <w:lang w:eastAsia="zh-CN"/>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4C12BF8D">
      <w:pPr>
        <w:ind w:left="420" w:hanging="420" w:hangingChars="200"/>
        <w:rPr>
          <w:rFonts w:hint="eastAsia" w:eastAsia="宋体"/>
          <w:lang w:eastAsia="zh-CN"/>
        </w:rPr>
      </w:pPr>
      <w:r>
        <w:rPr>
          <w:rFonts w:hint="eastAsia" w:eastAsia="宋体"/>
          <w:lang w:eastAsia="zh-CN"/>
        </w:rPr>
        <w:drawing>
          <wp:inline distT="0" distB="0" distL="114300" distR="114300">
            <wp:extent cx="2721610" cy="2441575"/>
            <wp:effectExtent l="0" t="0" r="2540" b="15875"/>
            <wp:docPr id="15" name="图片 1" descr="c1d9e26a2cbf1ffd695124b08f87a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c1d9e26a2cbf1ffd695124b08f87a41"/>
                    <pic:cNvPicPr>
                      <a:picLocks noChangeAspect="1"/>
                    </pic:cNvPicPr>
                  </pic:nvPicPr>
                  <pic:blipFill>
                    <a:blip r:embed="rId8"/>
                    <a:stretch>
                      <a:fillRect/>
                    </a:stretch>
                  </pic:blipFill>
                  <pic:spPr>
                    <a:xfrm>
                      <a:off x="0" y="0"/>
                      <a:ext cx="2721610" cy="2441575"/>
                    </a:xfrm>
                    <a:prstGeom prst="rect">
                      <a:avLst/>
                    </a:prstGeom>
                    <a:noFill/>
                    <a:ln>
                      <a:noFill/>
                    </a:ln>
                  </pic:spPr>
                </pic:pic>
              </a:graphicData>
            </a:graphic>
          </wp:inline>
        </w:drawing>
      </w:r>
      <w:r>
        <w:rPr>
          <w:rFonts w:hint="eastAsia"/>
          <w:lang w:val="en-US" w:eastAsia="zh-CN"/>
        </w:rPr>
        <w:t xml:space="preserve"> </w:t>
      </w:r>
      <w:r>
        <w:rPr>
          <w:rFonts w:hint="eastAsia" w:eastAsia="宋体"/>
          <w:lang w:eastAsia="zh-CN"/>
        </w:rPr>
        <w:drawing>
          <wp:inline distT="0" distB="0" distL="114300" distR="114300">
            <wp:extent cx="2797175" cy="2444750"/>
            <wp:effectExtent l="0" t="0" r="3175" b="12700"/>
            <wp:docPr id="14" name="图片 2" descr="b8e29c2a49fbc3fc18833ef7692b6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b8e29c2a49fbc3fc18833ef7692b6aa"/>
                    <pic:cNvPicPr>
                      <a:picLocks noChangeAspect="1"/>
                    </pic:cNvPicPr>
                  </pic:nvPicPr>
                  <pic:blipFill>
                    <a:blip r:embed="rId9"/>
                    <a:stretch>
                      <a:fillRect/>
                    </a:stretch>
                  </pic:blipFill>
                  <pic:spPr>
                    <a:xfrm>
                      <a:off x="0" y="0"/>
                      <a:ext cx="2797175" cy="2444750"/>
                    </a:xfrm>
                    <a:prstGeom prst="rect">
                      <a:avLst/>
                    </a:prstGeom>
                    <a:noFill/>
                    <a:ln>
                      <a:noFill/>
                    </a:ln>
                  </pic:spPr>
                </pic:pic>
              </a:graphicData>
            </a:graphic>
          </wp:inline>
        </w:drawing>
      </w:r>
    </w:p>
    <w:p w14:paraId="6F21A7E3">
      <w:pPr>
        <w:ind w:left="420" w:hanging="420" w:hangingChars="200"/>
        <w:rPr>
          <w:rFonts w:hint="default" w:eastAsia="宋体"/>
          <w:lang w:val="en-US" w:eastAsia="zh-CN"/>
        </w:rPr>
      </w:pPr>
      <w:r>
        <w:rPr>
          <w:rFonts w:hint="eastAsia"/>
          <w:lang w:val="en-US" w:eastAsia="zh-CN"/>
        </w:rPr>
        <w:t xml:space="preserve">            项目区东侧空地                        项目区南侧梧桐街</w:t>
      </w:r>
    </w:p>
    <w:p w14:paraId="329B7904">
      <w:pPr>
        <w:ind w:left="420" w:hanging="420" w:hangingChars="200"/>
        <w:rPr>
          <w:rFonts w:hint="eastAsia"/>
          <w:lang w:val="en-US" w:eastAsia="zh-CN"/>
        </w:rPr>
      </w:pPr>
      <w:r>
        <w:rPr>
          <w:rFonts w:hint="eastAsia" w:eastAsia="宋体"/>
          <w:lang w:eastAsia="zh-CN"/>
        </w:rPr>
        <w:drawing>
          <wp:inline distT="0" distB="0" distL="114300" distR="114300">
            <wp:extent cx="2746375" cy="2430145"/>
            <wp:effectExtent l="0" t="0" r="15875" b="8255"/>
            <wp:docPr id="9" name="图片 3" descr="5d34e7284c19ee3a8ddcaa5a46ce4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5d34e7284c19ee3a8ddcaa5a46ce4a4"/>
                    <pic:cNvPicPr>
                      <a:picLocks noChangeAspect="1"/>
                    </pic:cNvPicPr>
                  </pic:nvPicPr>
                  <pic:blipFill>
                    <a:blip r:embed="rId10"/>
                    <a:stretch>
                      <a:fillRect/>
                    </a:stretch>
                  </pic:blipFill>
                  <pic:spPr>
                    <a:xfrm>
                      <a:off x="0" y="0"/>
                      <a:ext cx="2746375" cy="2430145"/>
                    </a:xfrm>
                    <a:prstGeom prst="rect">
                      <a:avLst/>
                    </a:prstGeom>
                    <a:noFill/>
                    <a:ln>
                      <a:noFill/>
                    </a:ln>
                  </pic:spPr>
                </pic:pic>
              </a:graphicData>
            </a:graphic>
          </wp:inline>
        </w:drawing>
      </w:r>
      <w:r>
        <w:rPr>
          <w:rFonts w:hint="eastAsia"/>
          <w:lang w:val="en-US" w:eastAsia="zh-CN"/>
        </w:rPr>
        <w:t xml:space="preserve"> </w:t>
      </w:r>
      <w:r>
        <w:rPr>
          <w:rFonts w:hint="default" w:eastAsia="宋体"/>
          <w:lang w:val="en-US" w:eastAsia="zh-CN"/>
        </w:rPr>
        <w:drawing>
          <wp:inline distT="0" distB="0" distL="114300" distR="114300">
            <wp:extent cx="2756535" cy="2483485"/>
            <wp:effectExtent l="0" t="0" r="5715" b="12065"/>
            <wp:docPr id="10" name="图片 4" descr="160bb44e22188bb8c5ef20ffb416b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160bb44e22188bb8c5ef20ffb416b8f"/>
                    <pic:cNvPicPr>
                      <a:picLocks noChangeAspect="1"/>
                    </pic:cNvPicPr>
                  </pic:nvPicPr>
                  <pic:blipFill>
                    <a:blip r:embed="rId11"/>
                    <a:stretch>
                      <a:fillRect/>
                    </a:stretch>
                  </pic:blipFill>
                  <pic:spPr>
                    <a:xfrm>
                      <a:off x="0" y="0"/>
                      <a:ext cx="2756535" cy="2483485"/>
                    </a:xfrm>
                    <a:prstGeom prst="rect">
                      <a:avLst/>
                    </a:prstGeom>
                    <a:noFill/>
                    <a:ln>
                      <a:noFill/>
                    </a:ln>
                  </pic:spPr>
                </pic:pic>
              </a:graphicData>
            </a:graphic>
          </wp:inline>
        </w:drawing>
      </w:r>
      <w:r>
        <w:rPr>
          <w:rFonts w:hint="eastAsia"/>
          <w:lang w:val="en-US" w:eastAsia="zh-CN"/>
        </w:rPr>
        <w:t xml:space="preserve"> </w:t>
      </w:r>
    </w:p>
    <w:p w14:paraId="1B3314D6">
      <w:pPr>
        <w:ind w:left="420" w:leftChars="200" w:firstLine="0" w:firstLineChars="0"/>
        <w:rPr>
          <w:rFonts w:hint="default" w:eastAsia="宋体"/>
          <w:lang w:val="en-US" w:eastAsia="zh-CN"/>
        </w:rPr>
      </w:pPr>
      <w:r>
        <w:rPr>
          <w:rFonts w:hint="eastAsia"/>
          <w:lang w:val="en-US" w:eastAsia="zh-CN"/>
        </w:rPr>
        <w:t xml:space="preserve">项目区西侧新疆中部合盛硅业有限公司                  项目区北侧 </w:t>
      </w:r>
    </w:p>
    <w:p w14:paraId="1734028A">
      <w:pPr>
        <w:rPr>
          <w:rFonts w:hint="default" w:eastAsia="宋体"/>
          <w:lang w:val="en-US" w:eastAsia="zh-CN"/>
        </w:rPr>
      </w:pPr>
      <w:r>
        <w:rPr>
          <w:rFonts w:hint="eastAsia" w:eastAsia="宋体"/>
          <w:lang w:eastAsia="zh-CN"/>
        </w:rPr>
        <w:drawing>
          <wp:inline distT="0" distB="0" distL="114300" distR="114300">
            <wp:extent cx="2764790" cy="2526665"/>
            <wp:effectExtent l="0" t="0" r="16510" b="6985"/>
            <wp:docPr id="11" name="图片 5" descr="bd539bafd43f563d60e9a93eda1ba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bd539bafd43f563d60e9a93eda1baee"/>
                    <pic:cNvPicPr>
                      <a:picLocks noChangeAspect="1"/>
                    </pic:cNvPicPr>
                  </pic:nvPicPr>
                  <pic:blipFill>
                    <a:blip r:embed="rId12"/>
                    <a:stretch>
                      <a:fillRect/>
                    </a:stretch>
                  </pic:blipFill>
                  <pic:spPr>
                    <a:xfrm>
                      <a:off x="0" y="0"/>
                      <a:ext cx="2764790" cy="2526665"/>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771140" cy="2517775"/>
            <wp:effectExtent l="0" t="0" r="10160" b="15875"/>
            <wp:docPr id="12" name="图片 6" descr="a7b9d0518e61aef823bb5820a01a9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a7b9d0518e61aef823bb5820a01a93f"/>
                    <pic:cNvPicPr>
                      <a:picLocks noChangeAspect="1"/>
                    </pic:cNvPicPr>
                  </pic:nvPicPr>
                  <pic:blipFill>
                    <a:blip r:embed="rId13"/>
                    <a:stretch>
                      <a:fillRect/>
                    </a:stretch>
                  </pic:blipFill>
                  <pic:spPr>
                    <a:xfrm>
                      <a:off x="0" y="0"/>
                      <a:ext cx="2771140" cy="2517775"/>
                    </a:xfrm>
                    <a:prstGeom prst="rect">
                      <a:avLst/>
                    </a:prstGeom>
                    <a:noFill/>
                    <a:ln>
                      <a:noFill/>
                    </a:ln>
                  </pic:spPr>
                </pic:pic>
              </a:graphicData>
            </a:graphic>
          </wp:inline>
        </w:drawing>
      </w:r>
      <w:r>
        <w:rPr>
          <w:rFonts w:hint="eastAsia"/>
          <w:lang w:val="en-US" w:eastAsia="zh-CN"/>
        </w:rPr>
        <w:t xml:space="preserve"> </w:t>
      </w:r>
    </w:p>
    <w:p w14:paraId="0AB32535">
      <w:pPr>
        <w:keepNext w:val="0"/>
        <w:keepLines w:val="0"/>
        <w:pageBreakBefore w:val="0"/>
        <w:widowControl w:val="0"/>
        <w:wordWrap/>
        <w:topLinePunct w:val="0"/>
        <w:bidi w:val="0"/>
        <w:ind w:firstLine="420" w:firstLineChars="200"/>
        <w:jc w:val="both"/>
        <w:rPr>
          <w:rFonts w:hint="default" w:ascii="Times New Roman" w:hAnsi="Times New Roman" w:cs="Times New Roman"/>
          <w:b/>
          <w:bCs/>
          <w:color w:val="auto"/>
          <w:sz w:val="24"/>
          <w:szCs w:val="24"/>
          <w:highlight w:val="none"/>
          <w:lang w:val="en-US" w:eastAsia="zh-CN"/>
        </w:rPr>
      </w:pPr>
      <w:r>
        <w:rPr>
          <w:rFonts w:hint="eastAsia"/>
          <w:lang w:val="en-US" w:eastAsia="zh-CN"/>
        </w:rPr>
        <w:t xml:space="preserve">项目区西南新疆中部合盛硅业有限公司生活区            项目区所在地    </w:t>
      </w:r>
    </w:p>
    <w:p w14:paraId="0FF7937E">
      <w:pPr>
        <w:keepNext w:val="0"/>
        <w:keepLines w:val="0"/>
        <w:pageBreakBefore w:val="0"/>
        <w:widowControl w:val="0"/>
        <w:wordWrap/>
        <w:topLinePunct w:val="0"/>
        <w:bidi w:val="0"/>
        <w:jc w:val="center"/>
        <w:rPr>
          <w:rFonts w:hint="default" w:ascii="Times New Roman" w:hAnsi="Times New Roman" w:cs="Times New Roman"/>
          <w:b/>
          <w:bCs/>
          <w:color w:val="auto"/>
          <w:sz w:val="24"/>
          <w:szCs w:val="24"/>
          <w:highlight w:val="none"/>
          <w:lang w:val="en-US" w:eastAsia="zh-CN"/>
        </w:rPr>
      </w:pPr>
    </w:p>
    <w:p w14:paraId="1004874D">
      <w:pPr>
        <w:keepNext w:val="0"/>
        <w:keepLines w:val="0"/>
        <w:pageBreakBefore w:val="0"/>
        <w:widowControl w:val="0"/>
        <w:wordWrap/>
        <w:topLinePunct w:val="0"/>
        <w:bidi w:val="0"/>
        <w:jc w:val="center"/>
        <w:rPr>
          <w:rFonts w:hint="default" w:ascii="Times New Roman" w:hAnsi="Times New Roman" w:cs="Times New Roman"/>
          <w:b/>
          <w:bCs/>
          <w:color w:val="auto"/>
          <w:sz w:val="24"/>
          <w:szCs w:val="24"/>
          <w:highlight w:val="none"/>
          <w:lang w:val="en-US" w:eastAsia="zh-CN"/>
        </w:rPr>
      </w:pPr>
    </w:p>
    <w:p w14:paraId="5D5E6DAA">
      <w:pPr>
        <w:keepNext w:val="0"/>
        <w:keepLines w:val="0"/>
        <w:pageBreakBefore w:val="0"/>
        <w:widowControl w:val="0"/>
        <w:wordWrap/>
        <w:topLinePunct w:val="0"/>
        <w:bidi w:val="0"/>
        <w:jc w:val="center"/>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现场勘查图</w:t>
      </w:r>
    </w:p>
    <w:p w14:paraId="544E537F">
      <w:pPr>
        <w:keepNext w:val="0"/>
        <w:keepLines w:val="0"/>
        <w:pageBreakBefore w:val="0"/>
        <w:widowControl w:val="0"/>
        <w:wordWrap/>
        <w:topLinePunct w:val="0"/>
        <w:bidi w:val="0"/>
        <w:spacing w:before="0" w:beforeLines="0" w:after="0" w:afterLines="0" w:line="360" w:lineRule="auto"/>
        <w:ind w:left="0" w:leftChars="0" w:right="0" w:rightChars="0" w:firstLine="0" w:firstLineChars="0"/>
        <w:jc w:val="center"/>
        <w:rPr>
          <w:rFonts w:hint="default" w:ascii="Times New Roman" w:hAnsi="Times New Roman"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br w:type="page"/>
      </w:r>
      <w:r>
        <w:rPr>
          <w:rFonts w:hint="default" w:ascii="Times New Roman" w:hAnsi="Times New Roman" w:eastAsia="宋体" w:cs="Times New Roman"/>
          <w:b/>
          <w:bCs/>
          <w:color w:val="auto"/>
          <w:sz w:val="28"/>
          <w:szCs w:val="28"/>
          <w:highlight w:val="none"/>
        </w:rPr>
        <w:t>目录</w:t>
      </w:r>
    </w:p>
    <w:p w14:paraId="7E0AF002">
      <w:pPr>
        <w:pStyle w:val="13"/>
        <w:tabs>
          <w:tab w:val="right" w:leader="dot" w:pos="8844"/>
          <w:tab w:val="clear" w:pos="9016"/>
        </w:tabs>
        <w:rPr>
          <w:rFonts w:hint="default" w:ascii="Times New Roman" w:hAnsi="Times New Roman" w:eastAsia="宋体" w:cs="Times New Roman"/>
          <w:b w:val="0"/>
          <w:bCs/>
          <w:sz w:val="24"/>
          <w:szCs w:val="24"/>
        </w:rPr>
      </w:pPr>
      <w:r>
        <w:rPr>
          <w:rFonts w:hint="default" w:ascii="Times New Roman" w:hAnsi="Times New Roman" w:eastAsia="宋体" w:cs="Times New Roman"/>
          <w:b w:val="0"/>
          <w:bCs w:val="0"/>
          <w:color w:val="auto"/>
          <w:sz w:val="21"/>
          <w:szCs w:val="21"/>
          <w:highlight w:val="none"/>
        </w:rPr>
        <w:fldChar w:fldCharType="begin"/>
      </w:r>
      <w:r>
        <w:rPr>
          <w:rFonts w:hint="default" w:ascii="Times New Roman" w:hAnsi="Times New Roman" w:eastAsia="宋体" w:cs="Times New Roman"/>
          <w:b w:val="0"/>
          <w:bCs w:val="0"/>
          <w:color w:val="auto"/>
          <w:sz w:val="21"/>
          <w:szCs w:val="21"/>
          <w:highlight w:val="none"/>
        </w:rPr>
        <w:instrText xml:space="preserve">TOC \o "1-1" \h \u </w:instrText>
      </w:r>
      <w:r>
        <w:rPr>
          <w:rFonts w:hint="default" w:ascii="Times New Roman" w:hAnsi="Times New Roman" w:eastAsia="宋体" w:cs="Times New Roman"/>
          <w:b w:val="0"/>
          <w:bCs w:val="0"/>
          <w:color w:val="auto"/>
          <w:sz w:val="21"/>
          <w:szCs w:val="21"/>
          <w:highlight w:val="none"/>
        </w:rPr>
        <w:fldChar w:fldCharType="separate"/>
      </w:r>
      <w:r>
        <w:rPr>
          <w:rFonts w:hint="default" w:ascii="Times New Roman" w:hAnsi="Times New Roman" w:eastAsia="宋体" w:cs="Times New Roman"/>
          <w:b w:val="0"/>
          <w:bCs/>
          <w:color w:val="auto"/>
          <w:sz w:val="24"/>
          <w:szCs w:val="24"/>
          <w:highlight w:val="none"/>
        </w:rPr>
        <w:fldChar w:fldCharType="begin"/>
      </w:r>
      <w:r>
        <w:rPr>
          <w:rFonts w:hint="default" w:ascii="Times New Roman" w:hAnsi="Times New Roman" w:eastAsia="宋体" w:cs="Times New Roman"/>
          <w:b w:val="0"/>
          <w:bCs/>
          <w:sz w:val="24"/>
          <w:szCs w:val="24"/>
          <w:highlight w:val="none"/>
        </w:rPr>
        <w:instrText xml:space="preserve"> HYPERLINK \l _Toc6936 </w:instrText>
      </w:r>
      <w:r>
        <w:rPr>
          <w:rFonts w:hint="default" w:ascii="Times New Roman" w:hAnsi="Times New Roman" w:eastAsia="宋体" w:cs="Times New Roman"/>
          <w:b w:val="0"/>
          <w:bCs/>
          <w:sz w:val="24"/>
          <w:szCs w:val="24"/>
          <w:highlight w:val="none"/>
        </w:rPr>
        <w:fldChar w:fldCharType="separate"/>
      </w:r>
      <w:r>
        <w:rPr>
          <w:rFonts w:hint="default" w:ascii="Times New Roman" w:hAnsi="Times New Roman" w:eastAsia="宋体" w:cs="Times New Roman"/>
          <w:b w:val="0"/>
          <w:bCs/>
          <w:sz w:val="24"/>
          <w:szCs w:val="24"/>
        </w:rPr>
        <w:t xml:space="preserve">一、 </w:t>
      </w:r>
      <w:r>
        <w:rPr>
          <w:rFonts w:hint="default" w:ascii="Times New Roman" w:hAnsi="Times New Roman" w:eastAsia="宋体" w:cs="Times New Roman"/>
          <w:b w:val="0"/>
          <w:bCs/>
          <w:snapToGrid w:val="0"/>
          <w:kern w:val="0"/>
          <w:sz w:val="24"/>
          <w:szCs w:val="24"/>
          <w:highlight w:val="none"/>
          <w:lang w:val="en-US" w:eastAsia="zh-CN" w:bidi="ar-SA"/>
        </w:rPr>
        <w:t>建设项目基本情况</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_Toc6936 \h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3</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auto"/>
          <w:sz w:val="24"/>
          <w:szCs w:val="24"/>
          <w:highlight w:val="none"/>
        </w:rPr>
        <w:fldChar w:fldCharType="end"/>
      </w:r>
    </w:p>
    <w:p w14:paraId="1F725A68">
      <w:pPr>
        <w:pStyle w:val="13"/>
        <w:tabs>
          <w:tab w:val="right" w:leader="dot" w:pos="8844"/>
          <w:tab w:val="clear" w:pos="9016"/>
        </w:tabs>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auto"/>
          <w:sz w:val="24"/>
          <w:szCs w:val="24"/>
          <w:highlight w:val="none"/>
        </w:rPr>
        <w:fldChar w:fldCharType="begin"/>
      </w:r>
      <w:r>
        <w:rPr>
          <w:rFonts w:hint="default" w:ascii="Times New Roman" w:hAnsi="Times New Roman" w:eastAsia="宋体" w:cs="Times New Roman"/>
          <w:b w:val="0"/>
          <w:bCs/>
          <w:sz w:val="24"/>
          <w:szCs w:val="24"/>
          <w:highlight w:val="none"/>
        </w:rPr>
        <w:instrText xml:space="preserve"> HYPERLINK \l _Toc13067 </w:instrText>
      </w:r>
      <w:r>
        <w:rPr>
          <w:rFonts w:hint="default" w:ascii="Times New Roman" w:hAnsi="Times New Roman" w:eastAsia="宋体" w:cs="Times New Roman"/>
          <w:b w:val="0"/>
          <w:bCs/>
          <w:sz w:val="24"/>
          <w:szCs w:val="24"/>
          <w:highlight w:val="none"/>
        </w:rPr>
        <w:fldChar w:fldCharType="separate"/>
      </w:r>
      <w:r>
        <w:rPr>
          <w:rFonts w:hint="default" w:ascii="Times New Roman" w:hAnsi="Times New Roman" w:eastAsia="宋体" w:cs="Times New Roman"/>
          <w:b w:val="0"/>
          <w:bCs/>
          <w:snapToGrid w:val="0"/>
          <w:sz w:val="24"/>
          <w:szCs w:val="24"/>
          <w:highlight w:val="none"/>
        </w:rPr>
        <w:t>二、建设内容</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_Toc13067 \h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16</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auto"/>
          <w:sz w:val="24"/>
          <w:szCs w:val="24"/>
          <w:highlight w:val="none"/>
        </w:rPr>
        <w:fldChar w:fldCharType="end"/>
      </w:r>
    </w:p>
    <w:p w14:paraId="5BEF09D4">
      <w:pPr>
        <w:pStyle w:val="13"/>
        <w:tabs>
          <w:tab w:val="right" w:leader="dot" w:pos="8844"/>
          <w:tab w:val="clear" w:pos="9016"/>
        </w:tabs>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auto"/>
          <w:sz w:val="24"/>
          <w:szCs w:val="24"/>
          <w:highlight w:val="none"/>
        </w:rPr>
        <w:fldChar w:fldCharType="begin"/>
      </w:r>
      <w:r>
        <w:rPr>
          <w:rFonts w:hint="default" w:ascii="Times New Roman" w:hAnsi="Times New Roman" w:eastAsia="宋体" w:cs="Times New Roman"/>
          <w:b w:val="0"/>
          <w:bCs/>
          <w:sz w:val="24"/>
          <w:szCs w:val="24"/>
          <w:highlight w:val="none"/>
        </w:rPr>
        <w:instrText xml:space="preserve"> HYPERLINK \l _Toc12555 </w:instrText>
      </w:r>
      <w:r>
        <w:rPr>
          <w:rFonts w:hint="default" w:ascii="Times New Roman" w:hAnsi="Times New Roman" w:eastAsia="宋体" w:cs="Times New Roman"/>
          <w:b w:val="0"/>
          <w:bCs/>
          <w:sz w:val="24"/>
          <w:szCs w:val="24"/>
          <w:highlight w:val="none"/>
        </w:rPr>
        <w:fldChar w:fldCharType="separate"/>
      </w:r>
      <w:r>
        <w:rPr>
          <w:rFonts w:hint="default" w:ascii="Times New Roman" w:hAnsi="Times New Roman" w:eastAsia="宋体" w:cs="Times New Roman"/>
          <w:b w:val="0"/>
          <w:bCs/>
          <w:snapToGrid w:val="0"/>
          <w:sz w:val="24"/>
          <w:szCs w:val="24"/>
          <w:highlight w:val="none"/>
        </w:rPr>
        <w:t>三、生态环境现状、保护目标及评价标准</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_Toc12555 \h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21</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auto"/>
          <w:sz w:val="24"/>
          <w:szCs w:val="24"/>
          <w:highlight w:val="none"/>
        </w:rPr>
        <w:fldChar w:fldCharType="end"/>
      </w:r>
    </w:p>
    <w:p w14:paraId="0EE7E56F">
      <w:pPr>
        <w:pStyle w:val="13"/>
        <w:tabs>
          <w:tab w:val="right" w:leader="dot" w:pos="8844"/>
          <w:tab w:val="clear" w:pos="9016"/>
        </w:tabs>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auto"/>
          <w:sz w:val="24"/>
          <w:szCs w:val="24"/>
          <w:highlight w:val="none"/>
        </w:rPr>
        <w:fldChar w:fldCharType="begin"/>
      </w:r>
      <w:r>
        <w:rPr>
          <w:rFonts w:hint="default" w:ascii="Times New Roman" w:hAnsi="Times New Roman" w:eastAsia="宋体" w:cs="Times New Roman"/>
          <w:b w:val="0"/>
          <w:bCs/>
          <w:sz w:val="24"/>
          <w:szCs w:val="24"/>
          <w:highlight w:val="none"/>
        </w:rPr>
        <w:instrText xml:space="preserve"> HYPERLINK \l _Toc28471 </w:instrText>
      </w:r>
      <w:r>
        <w:rPr>
          <w:rFonts w:hint="default" w:ascii="Times New Roman" w:hAnsi="Times New Roman" w:eastAsia="宋体" w:cs="Times New Roman"/>
          <w:b w:val="0"/>
          <w:bCs/>
          <w:sz w:val="24"/>
          <w:szCs w:val="24"/>
          <w:highlight w:val="none"/>
        </w:rPr>
        <w:fldChar w:fldCharType="separate"/>
      </w:r>
      <w:r>
        <w:rPr>
          <w:rFonts w:hint="default" w:ascii="Times New Roman" w:hAnsi="Times New Roman" w:eastAsia="宋体" w:cs="Times New Roman"/>
          <w:b w:val="0"/>
          <w:bCs/>
          <w:snapToGrid w:val="0"/>
          <w:sz w:val="24"/>
          <w:szCs w:val="24"/>
          <w:highlight w:val="none"/>
        </w:rPr>
        <w:t>四、生态环境影响分析</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_Toc28471 \h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28</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auto"/>
          <w:sz w:val="24"/>
          <w:szCs w:val="24"/>
          <w:highlight w:val="none"/>
        </w:rPr>
        <w:fldChar w:fldCharType="end"/>
      </w:r>
    </w:p>
    <w:p w14:paraId="5417F87D">
      <w:pPr>
        <w:pStyle w:val="13"/>
        <w:tabs>
          <w:tab w:val="right" w:leader="dot" w:pos="8844"/>
          <w:tab w:val="clear" w:pos="9016"/>
        </w:tabs>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auto"/>
          <w:sz w:val="24"/>
          <w:szCs w:val="24"/>
          <w:highlight w:val="none"/>
        </w:rPr>
        <w:fldChar w:fldCharType="begin"/>
      </w:r>
      <w:r>
        <w:rPr>
          <w:rFonts w:hint="default" w:ascii="Times New Roman" w:hAnsi="Times New Roman" w:eastAsia="宋体" w:cs="Times New Roman"/>
          <w:b w:val="0"/>
          <w:bCs/>
          <w:sz w:val="24"/>
          <w:szCs w:val="24"/>
          <w:highlight w:val="none"/>
        </w:rPr>
        <w:instrText xml:space="preserve"> HYPERLINK \l _Toc12061 </w:instrText>
      </w:r>
      <w:r>
        <w:rPr>
          <w:rFonts w:hint="default" w:ascii="Times New Roman" w:hAnsi="Times New Roman" w:eastAsia="宋体" w:cs="Times New Roman"/>
          <w:b w:val="0"/>
          <w:bCs/>
          <w:sz w:val="24"/>
          <w:szCs w:val="24"/>
          <w:highlight w:val="none"/>
        </w:rPr>
        <w:fldChar w:fldCharType="separate"/>
      </w:r>
      <w:r>
        <w:rPr>
          <w:rFonts w:hint="default" w:ascii="Times New Roman" w:hAnsi="Times New Roman" w:eastAsia="宋体" w:cs="Times New Roman"/>
          <w:b w:val="0"/>
          <w:bCs/>
          <w:snapToGrid w:val="0"/>
          <w:sz w:val="24"/>
          <w:szCs w:val="24"/>
          <w:highlight w:val="none"/>
        </w:rPr>
        <w:t>五、主要生态环境保护措施</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_Toc12061 \h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38</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auto"/>
          <w:sz w:val="24"/>
          <w:szCs w:val="24"/>
          <w:highlight w:val="none"/>
        </w:rPr>
        <w:fldChar w:fldCharType="end"/>
      </w:r>
    </w:p>
    <w:p w14:paraId="6204FB09">
      <w:pPr>
        <w:pStyle w:val="13"/>
        <w:tabs>
          <w:tab w:val="right" w:leader="dot" w:pos="8844"/>
          <w:tab w:val="clear" w:pos="9016"/>
        </w:tabs>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auto"/>
          <w:sz w:val="24"/>
          <w:szCs w:val="24"/>
          <w:highlight w:val="none"/>
        </w:rPr>
        <w:fldChar w:fldCharType="begin"/>
      </w:r>
      <w:r>
        <w:rPr>
          <w:rFonts w:hint="default" w:ascii="Times New Roman" w:hAnsi="Times New Roman" w:eastAsia="宋体" w:cs="Times New Roman"/>
          <w:b w:val="0"/>
          <w:bCs/>
          <w:sz w:val="24"/>
          <w:szCs w:val="24"/>
          <w:highlight w:val="none"/>
        </w:rPr>
        <w:instrText xml:space="preserve"> HYPERLINK \l _Toc22359 </w:instrText>
      </w:r>
      <w:r>
        <w:rPr>
          <w:rFonts w:hint="default" w:ascii="Times New Roman" w:hAnsi="Times New Roman" w:eastAsia="宋体" w:cs="Times New Roman"/>
          <w:b w:val="0"/>
          <w:bCs/>
          <w:sz w:val="24"/>
          <w:szCs w:val="24"/>
          <w:highlight w:val="none"/>
        </w:rPr>
        <w:fldChar w:fldCharType="separate"/>
      </w:r>
      <w:r>
        <w:rPr>
          <w:rFonts w:hint="default" w:ascii="Times New Roman" w:hAnsi="Times New Roman" w:eastAsia="宋体" w:cs="Times New Roman"/>
          <w:b w:val="0"/>
          <w:bCs/>
          <w:snapToGrid w:val="0"/>
          <w:sz w:val="24"/>
          <w:szCs w:val="24"/>
          <w:highlight w:val="none"/>
        </w:rPr>
        <w:t>六、生态环境保护措施监督检查清单</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_Toc22359 \h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47</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auto"/>
          <w:sz w:val="24"/>
          <w:szCs w:val="24"/>
          <w:highlight w:val="none"/>
        </w:rPr>
        <w:fldChar w:fldCharType="end"/>
      </w:r>
    </w:p>
    <w:p w14:paraId="72B6E1F4">
      <w:pPr>
        <w:pStyle w:val="13"/>
        <w:tabs>
          <w:tab w:val="right" w:leader="dot" w:pos="8844"/>
          <w:tab w:val="clear" w:pos="9016"/>
        </w:tabs>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auto"/>
          <w:sz w:val="24"/>
          <w:szCs w:val="24"/>
          <w:highlight w:val="none"/>
        </w:rPr>
        <w:fldChar w:fldCharType="begin"/>
      </w:r>
      <w:r>
        <w:rPr>
          <w:rFonts w:hint="default" w:ascii="Times New Roman" w:hAnsi="Times New Roman" w:eastAsia="宋体" w:cs="Times New Roman"/>
          <w:b w:val="0"/>
          <w:bCs/>
          <w:sz w:val="24"/>
          <w:szCs w:val="24"/>
          <w:highlight w:val="none"/>
        </w:rPr>
        <w:instrText xml:space="preserve"> HYPERLINK \l _Toc24918 </w:instrText>
      </w:r>
      <w:r>
        <w:rPr>
          <w:rFonts w:hint="default" w:ascii="Times New Roman" w:hAnsi="Times New Roman" w:eastAsia="宋体" w:cs="Times New Roman"/>
          <w:b w:val="0"/>
          <w:bCs/>
          <w:sz w:val="24"/>
          <w:szCs w:val="24"/>
          <w:highlight w:val="none"/>
        </w:rPr>
        <w:fldChar w:fldCharType="separate"/>
      </w:r>
      <w:r>
        <w:rPr>
          <w:rFonts w:hint="default" w:ascii="Times New Roman" w:hAnsi="Times New Roman" w:eastAsia="宋体" w:cs="Times New Roman"/>
          <w:b w:val="0"/>
          <w:bCs/>
          <w:snapToGrid w:val="0"/>
          <w:sz w:val="24"/>
          <w:szCs w:val="24"/>
          <w:highlight w:val="none"/>
        </w:rPr>
        <w:t>七、结论</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_Toc24918 \h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49</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auto"/>
          <w:sz w:val="24"/>
          <w:szCs w:val="24"/>
          <w:highlight w:val="none"/>
        </w:rPr>
        <w:fldChar w:fldCharType="end"/>
      </w:r>
    </w:p>
    <w:p w14:paraId="0C8391CC">
      <w:pPr>
        <w:pStyle w:val="13"/>
        <w:tabs>
          <w:tab w:val="right" w:leader="dot" w:pos="8844"/>
          <w:tab w:val="clear" w:pos="9016"/>
        </w:tabs>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auto"/>
          <w:sz w:val="24"/>
          <w:szCs w:val="24"/>
          <w:highlight w:val="none"/>
        </w:rPr>
        <w:fldChar w:fldCharType="begin"/>
      </w:r>
      <w:r>
        <w:rPr>
          <w:rFonts w:hint="default" w:ascii="Times New Roman" w:hAnsi="Times New Roman" w:eastAsia="宋体" w:cs="Times New Roman"/>
          <w:b w:val="0"/>
          <w:bCs/>
          <w:sz w:val="24"/>
          <w:szCs w:val="24"/>
          <w:highlight w:val="none"/>
        </w:rPr>
        <w:instrText xml:space="preserve"> HYPERLINK \l _Toc19461 </w:instrText>
      </w:r>
      <w:r>
        <w:rPr>
          <w:rFonts w:hint="default" w:ascii="Times New Roman" w:hAnsi="Times New Roman" w:eastAsia="宋体" w:cs="Times New Roman"/>
          <w:b w:val="0"/>
          <w:bCs/>
          <w:sz w:val="24"/>
          <w:szCs w:val="24"/>
          <w:highlight w:val="none"/>
        </w:rPr>
        <w:fldChar w:fldCharType="separate"/>
      </w:r>
      <w:r>
        <w:rPr>
          <w:rFonts w:hint="default" w:ascii="Times New Roman" w:hAnsi="Times New Roman" w:eastAsia="宋体" w:cs="Times New Roman"/>
          <w:b w:val="0"/>
          <w:bCs/>
          <w:snapToGrid w:val="0"/>
          <w:sz w:val="24"/>
          <w:szCs w:val="24"/>
          <w:highlight w:val="none"/>
        </w:rPr>
        <w:t>电磁环境影响专题评价</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_Toc19461 \h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50</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auto"/>
          <w:sz w:val="24"/>
          <w:szCs w:val="24"/>
          <w:highlight w:val="none"/>
        </w:rPr>
        <w:fldChar w:fldCharType="end"/>
      </w:r>
    </w:p>
    <w:p w14:paraId="1DEB2B5E">
      <w:pPr>
        <w:pStyle w:val="13"/>
        <w:tabs>
          <w:tab w:val="right" w:leader="dot" w:pos="8844"/>
          <w:tab w:val="clear" w:pos="9016"/>
        </w:tabs>
        <w:jc w:val="both"/>
        <w:rPr>
          <w:rFonts w:hint="eastAsia" w:ascii="Times New Roman" w:hAnsi="Times New Roman" w:eastAsia="宋体" w:cs="Times New Roman"/>
          <w:lang w:val="en-US" w:eastAsia="zh-CN"/>
        </w:rPr>
      </w:pPr>
    </w:p>
    <w:p w14:paraId="245493EB">
      <w:pPr>
        <w:keepNext w:val="0"/>
        <w:keepLines w:val="0"/>
        <w:pageBreakBefore w:val="0"/>
        <w:widowControl w:val="0"/>
        <w:wordWrap/>
        <w:topLinePunct w:val="0"/>
        <w:bidi w:val="0"/>
        <w:spacing w:line="360" w:lineRule="auto"/>
        <w:jc w:val="both"/>
        <w:rPr>
          <w:rFonts w:hint="eastAsia"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Cs w:val="0"/>
          <w:color w:val="auto"/>
          <w:szCs w:val="21"/>
          <w:highlight w:val="none"/>
        </w:rPr>
        <w:fldChar w:fldCharType="end"/>
      </w:r>
      <w:r>
        <w:rPr>
          <w:rFonts w:hint="eastAsia" w:ascii="Times New Roman" w:hAnsi="Times New Roman" w:eastAsia="宋体" w:cs="Times New Roman"/>
          <w:b w:val="0"/>
          <w:bCs w:val="0"/>
          <w:color w:val="auto"/>
          <w:sz w:val="24"/>
          <w:szCs w:val="24"/>
          <w:highlight w:val="none"/>
          <w:lang w:val="en-US" w:eastAsia="zh-CN"/>
        </w:rPr>
        <w:t>附图</w:t>
      </w:r>
    </w:p>
    <w:p w14:paraId="77DDDC75">
      <w:pPr>
        <w:keepNext w:val="0"/>
        <w:keepLines w:val="0"/>
        <w:pageBreakBefore w:val="0"/>
        <w:widowControl w:val="0"/>
        <w:wordWrap/>
        <w:topLinePunct w:val="0"/>
        <w:bidi w:val="0"/>
        <w:spacing w:line="360" w:lineRule="auto"/>
        <w:jc w:val="both"/>
        <w:rPr>
          <w:rFonts w:hint="default"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图1-1  园区功能分区规划图</w:t>
      </w:r>
    </w:p>
    <w:p w14:paraId="3416DFE1">
      <w:pPr>
        <w:keepNext w:val="0"/>
        <w:keepLines w:val="0"/>
        <w:pageBreakBefore w:val="0"/>
        <w:widowControl w:val="0"/>
        <w:wordWrap/>
        <w:topLinePunct w:val="0"/>
        <w:bidi w:val="0"/>
        <w:spacing w:line="360" w:lineRule="auto"/>
        <w:jc w:val="both"/>
        <w:rPr>
          <w:rFonts w:hint="default"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图1-2  园区土地利用规划图</w:t>
      </w:r>
    </w:p>
    <w:p w14:paraId="1731BA07">
      <w:pPr>
        <w:keepNext w:val="0"/>
        <w:keepLines w:val="0"/>
        <w:pageBreakBefore w:val="0"/>
        <w:widowControl w:val="0"/>
        <w:wordWrap/>
        <w:topLinePunct w:val="0"/>
        <w:bidi w:val="0"/>
        <w:spacing w:line="360" w:lineRule="auto"/>
        <w:jc w:val="both"/>
        <w:rPr>
          <w:rFonts w:hint="default" w:cs="Times New Roman"/>
          <w:b w:val="0"/>
          <w:bCs w:val="0"/>
          <w:color w:val="auto"/>
          <w:sz w:val="24"/>
          <w:szCs w:val="24"/>
          <w:highlight w:val="none"/>
          <w:lang w:val="en-US" w:eastAsia="zh-CN"/>
        </w:rPr>
      </w:pPr>
      <w:r>
        <w:rPr>
          <w:rFonts w:hint="default" w:cs="Times New Roman"/>
          <w:b w:val="0"/>
          <w:bCs w:val="0"/>
          <w:color w:val="auto"/>
          <w:sz w:val="24"/>
          <w:szCs w:val="24"/>
          <w:highlight w:val="none"/>
          <w:lang w:val="en-US" w:eastAsia="zh-CN"/>
        </w:rPr>
        <w:t>图1</w:t>
      </w:r>
      <w:r>
        <w:rPr>
          <w:rFonts w:hint="eastAsia" w:cs="Times New Roman"/>
          <w:b w:val="0"/>
          <w:bCs w:val="0"/>
          <w:color w:val="auto"/>
          <w:sz w:val="24"/>
          <w:szCs w:val="24"/>
          <w:highlight w:val="none"/>
          <w:lang w:val="en-US" w:eastAsia="zh-CN"/>
        </w:rPr>
        <w:t>-3</w:t>
      </w:r>
      <w:r>
        <w:rPr>
          <w:rFonts w:hint="default" w:cs="Times New Roman"/>
          <w:b w:val="0"/>
          <w:bCs w:val="0"/>
          <w:color w:val="auto"/>
          <w:sz w:val="24"/>
          <w:szCs w:val="24"/>
          <w:highlight w:val="none"/>
          <w:lang w:val="en-US" w:eastAsia="zh-CN"/>
        </w:rPr>
        <w:t xml:space="preserve">  </w:t>
      </w:r>
      <w:r>
        <w:rPr>
          <w:rFonts w:hint="eastAsia" w:cs="Times New Roman"/>
          <w:b w:val="0"/>
          <w:bCs w:val="0"/>
          <w:color w:val="auto"/>
          <w:sz w:val="24"/>
          <w:szCs w:val="24"/>
          <w:highlight w:val="none"/>
          <w:lang w:val="en-US" w:eastAsia="zh-CN"/>
        </w:rPr>
        <w:t>乌鲁木齐市环境管控单元分类图</w:t>
      </w:r>
    </w:p>
    <w:p w14:paraId="43908FEF">
      <w:pPr>
        <w:keepNext w:val="0"/>
        <w:keepLines w:val="0"/>
        <w:pageBreakBefore w:val="0"/>
        <w:widowControl w:val="0"/>
        <w:wordWrap/>
        <w:topLinePunct w:val="0"/>
        <w:bidi w:val="0"/>
        <w:spacing w:line="360" w:lineRule="auto"/>
        <w:jc w:val="both"/>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图2-1  地理位置图</w:t>
      </w:r>
    </w:p>
    <w:p w14:paraId="43DF60EE">
      <w:pPr>
        <w:keepNext w:val="0"/>
        <w:keepLines w:val="0"/>
        <w:pageBreakBefore w:val="0"/>
        <w:widowControl w:val="0"/>
        <w:wordWrap/>
        <w:topLinePunct w:val="0"/>
        <w:bidi w:val="0"/>
        <w:spacing w:line="360" w:lineRule="auto"/>
        <w:jc w:val="both"/>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图</w:t>
      </w:r>
      <w:r>
        <w:rPr>
          <w:rFonts w:hint="eastAsia" w:ascii="Times New Roman" w:hAnsi="Times New Roman" w:eastAsia="宋体" w:cs="Times New Roman"/>
          <w:b w:val="0"/>
          <w:bCs w:val="0"/>
          <w:color w:val="auto"/>
          <w:sz w:val="24"/>
          <w:szCs w:val="24"/>
          <w:highlight w:val="none"/>
          <w:lang w:val="en-US" w:eastAsia="zh-CN"/>
        </w:rPr>
        <w:t>2-2</w:t>
      </w:r>
      <w:r>
        <w:rPr>
          <w:rFonts w:hint="default" w:ascii="Times New Roman" w:hAnsi="Times New Roman" w:eastAsia="宋体" w:cs="Times New Roman"/>
          <w:b w:val="0"/>
          <w:bCs w:val="0"/>
          <w:color w:val="auto"/>
          <w:sz w:val="24"/>
          <w:szCs w:val="24"/>
          <w:highlight w:val="none"/>
          <w:lang w:val="en-US" w:eastAsia="zh-CN"/>
        </w:rPr>
        <w:t xml:space="preserve">  周边关系图</w:t>
      </w:r>
    </w:p>
    <w:p w14:paraId="21F0736D">
      <w:pPr>
        <w:keepNext w:val="0"/>
        <w:keepLines w:val="0"/>
        <w:pageBreakBefore w:val="0"/>
        <w:widowControl w:val="0"/>
        <w:wordWrap/>
        <w:topLinePunct w:val="0"/>
        <w:bidi w:val="0"/>
        <w:spacing w:line="360" w:lineRule="auto"/>
        <w:jc w:val="both"/>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图2-3  储能电站平面布置图</w:t>
      </w:r>
    </w:p>
    <w:p w14:paraId="46FB7416">
      <w:pPr>
        <w:keepNext w:val="0"/>
        <w:keepLines w:val="0"/>
        <w:pageBreakBefore w:val="0"/>
        <w:widowControl w:val="0"/>
        <w:wordWrap/>
        <w:topLinePunct w:val="0"/>
        <w:bidi w:val="0"/>
        <w:spacing w:line="360" w:lineRule="auto"/>
        <w:jc w:val="both"/>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图</w:t>
      </w:r>
      <w:r>
        <w:rPr>
          <w:rFonts w:hint="eastAsia" w:ascii="Times New Roman" w:hAnsi="Times New Roman" w:eastAsia="宋体" w:cs="Times New Roman"/>
          <w:b w:val="0"/>
          <w:bCs w:val="0"/>
          <w:color w:val="auto"/>
          <w:sz w:val="24"/>
          <w:szCs w:val="24"/>
          <w:highlight w:val="none"/>
          <w:lang w:val="en-US" w:eastAsia="zh-CN"/>
        </w:rPr>
        <w:t xml:space="preserve">3-1  </w:t>
      </w:r>
      <w:r>
        <w:rPr>
          <w:rFonts w:hint="default" w:ascii="Times New Roman" w:hAnsi="Times New Roman" w:eastAsia="宋体" w:cs="Times New Roman"/>
          <w:b w:val="0"/>
          <w:bCs w:val="0"/>
          <w:color w:val="auto"/>
          <w:sz w:val="24"/>
          <w:szCs w:val="24"/>
          <w:highlight w:val="none"/>
          <w:lang w:val="en-US" w:eastAsia="zh-CN"/>
        </w:rPr>
        <w:t>新疆主体功能区划分总图</w:t>
      </w:r>
    </w:p>
    <w:p w14:paraId="0B0F8D01">
      <w:pPr>
        <w:keepNext w:val="0"/>
        <w:keepLines w:val="0"/>
        <w:pageBreakBefore w:val="0"/>
        <w:widowControl w:val="0"/>
        <w:wordWrap/>
        <w:topLinePunct w:val="0"/>
        <w:bidi w:val="0"/>
        <w:spacing w:line="360" w:lineRule="auto"/>
        <w:jc w:val="both"/>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图</w:t>
      </w:r>
      <w:r>
        <w:rPr>
          <w:rFonts w:hint="eastAsia" w:ascii="Times New Roman" w:hAnsi="Times New Roman" w:eastAsia="宋体" w:cs="Times New Roman"/>
          <w:b w:val="0"/>
          <w:bCs w:val="0"/>
          <w:color w:val="auto"/>
          <w:sz w:val="24"/>
          <w:szCs w:val="24"/>
          <w:highlight w:val="none"/>
          <w:lang w:val="en-US" w:eastAsia="zh-CN"/>
        </w:rPr>
        <w:t xml:space="preserve">3-2  </w:t>
      </w:r>
      <w:r>
        <w:rPr>
          <w:rFonts w:hint="default" w:ascii="Times New Roman" w:hAnsi="Times New Roman" w:eastAsia="宋体" w:cs="Times New Roman"/>
          <w:b w:val="0"/>
          <w:bCs w:val="0"/>
          <w:color w:val="auto"/>
          <w:sz w:val="24"/>
          <w:szCs w:val="24"/>
          <w:highlight w:val="none"/>
          <w:lang w:val="en-US" w:eastAsia="zh-CN"/>
        </w:rPr>
        <w:t>新疆维吾尔自治区生态功能</w:t>
      </w:r>
      <w:r>
        <w:rPr>
          <w:rFonts w:hint="eastAsia" w:ascii="Times New Roman" w:hAnsi="Times New Roman" w:eastAsia="宋体" w:cs="Times New Roman"/>
          <w:b w:val="0"/>
          <w:bCs w:val="0"/>
          <w:color w:val="auto"/>
          <w:sz w:val="24"/>
          <w:szCs w:val="24"/>
          <w:highlight w:val="none"/>
          <w:lang w:val="en-US" w:eastAsia="zh-CN"/>
        </w:rPr>
        <w:t>区划图</w:t>
      </w:r>
    </w:p>
    <w:p w14:paraId="65F08DD4">
      <w:pPr>
        <w:keepNext w:val="0"/>
        <w:keepLines w:val="0"/>
        <w:pageBreakBefore w:val="0"/>
        <w:widowControl w:val="0"/>
        <w:wordWrap/>
        <w:topLinePunct w:val="0"/>
        <w:bidi w:val="0"/>
        <w:spacing w:line="360" w:lineRule="auto"/>
        <w:jc w:val="both"/>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图</w:t>
      </w:r>
      <w:r>
        <w:rPr>
          <w:rFonts w:hint="eastAsia" w:ascii="Times New Roman" w:hAnsi="Times New Roman" w:eastAsia="宋体" w:cs="Times New Roman"/>
          <w:b w:val="0"/>
          <w:bCs w:val="0"/>
          <w:color w:val="auto"/>
          <w:sz w:val="24"/>
          <w:szCs w:val="24"/>
          <w:highlight w:val="none"/>
          <w:lang w:val="en-US" w:eastAsia="zh-CN"/>
        </w:rPr>
        <w:t>3-3</w:t>
      </w:r>
      <w:r>
        <w:rPr>
          <w:rFonts w:hint="default" w:ascii="Times New Roman" w:hAnsi="Times New Roman" w:eastAsia="宋体" w:cs="Times New Roman"/>
          <w:b w:val="0"/>
          <w:bCs w:val="0"/>
          <w:color w:val="auto"/>
          <w:sz w:val="24"/>
          <w:szCs w:val="24"/>
          <w:highlight w:val="none"/>
          <w:lang w:val="en-US" w:eastAsia="zh-CN"/>
        </w:rPr>
        <w:t xml:space="preserve">  土壤类型图</w:t>
      </w:r>
    </w:p>
    <w:p w14:paraId="2F86D61F">
      <w:pPr>
        <w:keepNext w:val="0"/>
        <w:keepLines w:val="0"/>
        <w:pageBreakBefore w:val="0"/>
        <w:widowControl w:val="0"/>
        <w:wordWrap/>
        <w:topLinePunct w:val="0"/>
        <w:bidi w:val="0"/>
        <w:spacing w:line="360" w:lineRule="auto"/>
        <w:jc w:val="both"/>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图</w:t>
      </w:r>
      <w:r>
        <w:rPr>
          <w:rFonts w:hint="eastAsia" w:ascii="Times New Roman" w:hAnsi="Times New Roman" w:eastAsia="宋体" w:cs="Times New Roman"/>
          <w:b w:val="0"/>
          <w:bCs w:val="0"/>
          <w:color w:val="auto"/>
          <w:sz w:val="24"/>
          <w:szCs w:val="24"/>
          <w:highlight w:val="none"/>
          <w:lang w:val="en-US" w:eastAsia="zh-CN"/>
        </w:rPr>
        <w:t>3-4</w:t>
      </w:r>
      <w:r>
        <w:rPr>
          <w:rFonts w:hint="default" w:ascii="Times New Roman" w:hAnsi="Times New Roman" w:eastAsia="宋体" w:cs="Times New Roman"/>
          <w:b w:val="0"/>
          <w:bCs w:val="0"/>
          <w:color w:val="auto"/>
          <w:sz w:val="24"/>
          <w:szCs w:val="24"/>
          <w:highlight w:val="none"/>
          <w:lang w:val="en-US" w:eastAsia="zh-CN"/>
        </w:rPr>
        <w:t xml:space="preserve"> </w:t>
      </w:r>
      <w:r>
        <w:rPr>
          <w:rFonts w:hint="eastAsia"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 xml:space="preserve">土地利用现状图 </w:t>
      </w:r>
    </w:p>
    <w:p w14:paraId="67B30559">
      <w:pPr>
        <w:keepNext w:val="0"/>
        <w:keepLines w:val="0"/>
        <w:pageBreakBefore w:val="0"/>
        <w:widowControl w:val="0"/>
        <w:wordWrap/>
        <w:topLinePunct w:val="0"/>
        <w:bidi w:val="0"/>
        <w:spacing w:line="360" w:lineRule="auto"/>
        <w:jc w:val="both"/>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图</w:t>
      </w:r>
      <w:r>
        <w:rPr>
          <w:rFonts w:hint="eastAsia" w:ascii="Times New Roman" w:hAnsi="Times New Roman" w:eastAsia="宋体" w:cs="Times New Roman"/>
          <w:b w:val="0"/>
          <w:bCs w:val="0"/>
          <w:color w:val="auto"/>
          <w:sz w:val="24"/>
          <w:szCs w:val="24"/>
          <w:highlight w:val="none"/>
          <w:lang w:val="en-US" w:eastAsia="zh-CN"/>
        </w:rPr>
        <w:t xml:space="preserve">3-5 </w:t>
      </w:r>
      <w:r>
        <w:rPr>
          <w:rFonts w:hint="default" w:ascii="Times New Roman" w:hAnsi="Times New Roman" w:eastAsia="宋体" w:cs="Times New Roman"/>
          <w:b w:val="0"/>
          <w:bCs w:val="0"/>
          <w:color w:val="auto"/>
          <w:sz w:val="24"/>
          <w:szCs w:val="24"/>
          <w:highlight w:val="none"/>
          <w:lang w:val="en-US" w:eastAsia="zh-CN"/>
        </w:rPr>
        <w:t xml:space="preserve"> 植被类型图</w:t>
      </w:r>
    </w:p>
    <w:p w14:paraId="42DAA278">
      <w:pPr>
        <w:pStyle w:val="23"/>
        <w:rPr>
          <w:rFonts w:hint="eastAsia"/>
          <w:sz w:val="24"/>
          <w:szCs w:val="24"/>
          <w:lang w:val="en-US" w:eastAsia="zh-CN"/>
        </w:rPr>
      </w:pPr>
    </w:p>
    <w:p w14:paraId="22569806">
      <w:pPr>
        <w:spacing w:before="36" w:after="36" w:line="360" w:lineRule="auto"/>
        <w:ind w:left="0" w:leftChars="0" w:firstLine="0" w:firstLineChars="0"/>
        <w:jc w:val="both"/>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附件：</w:t>
      </w:r>
    </w:p>
    <w:p w14:paraId="7AA0CB2C">
      <w:pPr>
        <w:spacing w:before="36" w:after="36" w:line="360" w:lineRule="auto"/>
        <w:ind w:left="0" w:leftChars="0" w:firstLine="0" w:firstLineChars="0"/>
        <w:jc w:val="both"/>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附件1  委托书</w:t>
      </w:r>
      <w:r>
        <w:rPr>
          <w:rFonts w:hint="eastAsia" w:ascii="Times New Roman" w:hAnsi="Times New Roman" w:eastAsia="宋体" w:cs="Times New Roman"/>
          <w:b w:val="0"/>
          <w:bCs/>
          <w:color w:val="auto"/>
          <w:kern w:val="2"/>
          <w:sz w:val="24"/>
          <w:szCs w:val="24"/>
          <w:highlight w:val="none"/>
          <w:lang w:val="en-US" w:eastAsia="zh-CN" w:bidi="ar-SA"/>
        </w:rPr>
        <w:t>；</w:t>
      </w:r>
    </w:p>
    <w:p w14:paraId="5EFCB112">
      <w:pPr>
        <w:spacing w:before="36" w:after="36" w:line="360" w:lineRule="auto"/>
        <w:ind w:left="0" w:leftChars="0" w:firstLine="0" w:firstLineChars="0"/>
        <w:jc w:val="both"/>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 xml:space="preserve">附件2  </w:t>
      </w:r>
      <w:r>
        <w:rPr>
          <w:rFonts w:hint="eastAsia" w:ascii="Times New Roman" w:hAnsi="Times New Roman" w:eastAsia="宋体" w:cs="Times New Roman"/>
          <w:b w:val="0"/>
          <w:bCs/>
          <w:color w:val="auto"/>
          <w:kern w:val="2"/>
          <w:sz w:val="24"/>
          <w:szCs w:val="24"/>
          <w:highlight w:val="none"/>
          <w:lang w:val="en-US" w:eastAsia="zh-CN" w:bidi="ar-SA"/>
        </w:rPr>
        <w:t>备案文件；</w:t>
      </w:r>
    </w:p>
    <w:p w14:paraId="7B2FC608">
      <w:pPr>
        <w:spacing w:before="36" w:after="36" w:line="360" w:lineRule="auto"/>
        <w:ind w:left="0" w:leftChars="0" w:firstLine="0" w:firstLineChars="0"/>
        <w:jc w:val="both"/>
        <w:rPr>
          <w:rFonts w:hint="eastAsia"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 xml:space="preserve">附件3  </w:t>
      </w:r>
      <w:r>
        <w:rPr>
          <w:rFonts w:hint="eastAsia" w:ascii="Times New Roman" w:hAnsi="Times New Roman" w:eastAsia="宋体" w:cs="Times New Roman"/>
          <w:b w:val="0"/>
          <w:bCs/>
          <w:color w:val="auto"/>
          <w:kern w:val="2"/>
          <w:sz w:val="24"/>
          <w:szCs w:val="24"/>
          <w:highlight w:val="none"/>
          <w:lang w:val="en-US" w:eastAsia="zh-CN" w:bidi="ar-SA"/>
        </w:rPr>
        <w:t>关于甘泉堡工业园区总体规划（2016-2030年的）批复；</w:t>
      </w:r>
    </w:p>
    <w:p w14:paraId="49C1B7E7">
      <w:pPr>
        <w:spacing w:before="36" w:after="36" w:line="360" w:lineRule="auto"/>
        <w:ind w:left="0" w:leftChars="0" w:firstLine="0" w:firstLineChars="0"/>
        <w:jc w:val="both"/>
        <w:rPr>
          <w:rFonts w:hint="default"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附件4  关于甘泉堡工业园区总体规划（2016-2030年的）环境影响报告书的审查意见；</w:t>
      </w:r>
    </w:p>
    <w:p w14:paraId="1B1549D2">
      <w:pPr>
        <w:spacing w:before="36" w:after="36" w:line="360" w:lineRule="auto"/>
        <w:ind w:left="0" w:leftChars="0" w:firstLine="0" w:firstLineChars="0"/>
        <w:jc w:val="both"/>
        <w:rPr>
          <w:rFonts w:hint="eastAsia"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附件5   现状监测报告</w:t>
      </w:r>
    </w:p>
    <w:p w14:paraId="68898FA8">
      <w:pPr>
        <w:pStyle w:val="2"/>
        <w:keepNext w:val="0"/>
        <w:keepLines w:val="0"/>
        <w:pageBreakBefore w:val="0"/>
        <w:widowControl w:val="0"/>
        <w:numPr>
          <w:ilvl w:val="0"/>
          <w:numId w:val="2"/>
        </w:numPr>
        <w:wordWrap/>
        <w:topLinePunct w:val="0"/>
        <w:bidi w:val="0"/>
        <w:jc w:val="center"/>
        <w:rPr>
          <w:rFonts w:hint="default" w:ascii="Times New Roman" w:hAnsi="Times New Roman" w:cs="Times New Roman"/>
          <w:color w:val="auto"/>
          <w:highlight w:val="none"/>
        </w:rPr>
      </w:pPr>
      <w:bookmarkStart w:id="1" w:name="_Toc6936"/>
      <w:r>
        <w:rPr>
          <w:rFonts w:hint="default" w:ascii="Times New Roman" w:hAnsi="Times New Roman" w:eastAsia="黑体" w:cs="Times New Roman"/>
          <w:snapToGrid w:val="0"/>
          <w:color w:val="auto"/>
          <w:kern w:val="0"/>
          <w:sz w:val="30"/>
          <w:szCs w:val="30"/>
          <w:highlight w:val="none"/>
          <w:lang w:val="en-US" w:eastAsia="zh-CN" w:bidi="ar-SA"/>
        </w:rPr>
        <w:t>建设项目基本情况</w:t>
      </w:r>
      <w:bookmarkEnd w:id="1"/>
    </w:p>
    <w:tbl>
      <w:tblPr>
        <w:tblStyle w:val="18"/>
        <w:tblW w:w="4987"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021"/>
        <w:gridCol w:w="2349"/>
        <w:gridCol w:w="1826"/>
        <w:gridCol w:w="2651"/>
      </w:tblGrid>
      <w:tr w14:paraId="0AA254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142" w:type="pct"/>
            <w:noWrap w:val="0"/>
            <w:tcMar>
              <w:top w:w="16" w:type="dxa"/>
              <w:left w:w="16" w:type="dxa"/>
              <w:right w:w="16" w:type="dxa"/>
            </w:tcMar>
            <w:vAlign w:val="center"/>
          </w:tcPr>
          <w:p w14:paraId="4896A17B">
            <w:pPr>
              <w:keepNext w:val="0"/>
              <w:keepLines w:val="0"/>
              <w:pageBreakBefore w:val="0"/>
              <w:widowControl w:val="0"/>
              <w:wordWrap/>
              <w:topLinePunct w:val="0"/>
              <w:bidi w:val="0"/>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建设项目名称</w:t>
            </w:r>
          </w:p>
        </w:tc>
        <w:tc>
          <w:tcPr>
            <w:tcW w:w="3857" w:type="pct"/>
            <w:gridSpan w:val="3"/>
            <w:noWrap w:val="0"/>
            <w:vAlign w:val="center"/>
          </w:tcPr>
          <w:p w14:paraId="4F13DD9C">
            <w:pPr>
              <w:keepNext w:val="0"/>
              <w:keepLines w:val="0"/>
              <w:pageBreakBefore w:val="0"/>
              <w:widowControl w:val="0"/>
              <w:wordWrap/>
              <w:topLinePunct w:val="0"/>
              <w:bidi w:val="0"/>
              <w:adjustRightInd w:val="0"/>
              <w:snapToGrid w:val="0"/>
              <w:jc w:val="center"/>
              <w:rPr>
                <w:rFonts w:hint="default" w:ascii="Times New Roman" w:hAnsi="Times New Roman" w:eastAsia="宋体" w:cs="Times New Roman"/>
                <w:color w:val="auto"/>
                <w:sz w:val="24"/>
                <w:szCs w:val="24"/>
                <w:highlight w:val="none"/>
                <w:lang w:val="en-US" w:eastAsia="zh-CN"/>
              </w:rPr>
            </w:pPr>
            <w:bookmarkStart w:id="2" w:name="OLE_LINK9"/>
            <w:r>
              <w:rPr>
                <w:rFonts w:hint="default" w:ascii="Times New Roman" w:hAnsi="Times New Roman" w:eastAsia="宋体" w:cs="Times New Roman"/>
                <w:color w:val="auto"/>
                <w:sz w:val="24"/>
                <w:szCs w:val="24"/>
                <w:highlight w:val="none"/>
                <w:lang w:val="en-US" w:eastAsia="zh-CN"/>
              </w:rPr>
              <w:t>新疆甘泉堡400MW/1600MWh混合电化学共享储能项目</w:t>
            </w:r>
            <w:bookmarkEnd w:id="2"/>
          </w:p>
        </w:tc>
      </w:tr>
      <w:tr w14:paraId="23F2DE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1142" w:type="pct"/>
            <w:noWrap w:val="0"/>
            <w:tcMar>
              <w:top w:w="16" w:type="dxa"/>
              <w:left w:w="16" w:type="dxa"/>
              <w:right w:w="16" w:type="dxa"/>
            </w:tcMar>
            <w:vAlign w:val="center"/>
          </w:tcPr>
          <w:p w14:paraId="4B38B42A">
            <w:pPr>
              <w:keepNext w:val="0"/>
              <w:keepLines w:val="0"/>
              <w:pageBreakBefore w:val="0"/>
              <w:widowControl w:val="0"/>
              <w:wordWrap/>
              <w:topLinePunct w:val="0"/>
              <w:bidi w:val="0"/>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项目代码</w:t>
            </w:r>
          </w:p>
        </w:tc>
        <w:tc>
          <w:tcPr>
            <w:tcW w:w="3857" w:type="pct"/>
            <w:gridSpan w:val="3"/>
            <w:noWrap w:val="0"/>
            <w:vAlign w:val="center"/>
          </w:tcPr>
          <w:p w14:paraId="4DFFA39F">
            <w:pPr>
              <w:pStyle w:val="15"/>
              <w:keepNext w:val="0"/>
              <w:keepLines w:val="0"/>
              <w:widowControl/>
              <w:suppressLineNumbers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000000"/>
                <w:sz w:val="24"/>
                <w:szCs w:val="24"/>
              </w:rPr>
              <w:t>2403-650108-04-01-811878</w:t>
            </w:r>
          </w:p>
        </w:tc>
      </w:tr>
      <w:tr w14:paraId="037405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142" w:type="pct"/>
            <w:noWrap w:val="0"/>
            <w:tcMar>
              <w:top w:w="16" w:type="dxa"/>
              <w:left w:w="16" w:type="dxa"/>
              <w:right w:w="16" w:type="dxa"/>
            </w:tcMar>
            <w:vAlign w:val="center"/>
          </w:tcPr>
          <w:p w14:paraId="08C927AF">
            <w:pPr>
              <w:keepNext w:val="0"/>
              <w:keepLines w:val="0"/>
              <w:pageBreakBefore w:val="0"/>
              <w:widowControl w:val="0"/>
              <w:wordWrap/>
              <w:topLinePunct w:val="0"/>
              <w:bidi w:val="0"/>
              <w:adjustRightInd w:val="0"/>
              <w:snapToGrid w:val="0"/>
              <w:jc w:val="center"/>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kern w:val="0"/>
                <w:sz w:val="24"/>
                <w:szCs w:val="24"/>
                <w:lang w:val="en-US" w:eastAsia="zh-CN" w:bidi="ar"/>
              </w:rPr>
              <w:t>建设单位联系人</w:t>
            </w:r>
          </w:p>
        </w:tc>
        <w:tc>
          <w:tcPr>
            <w:tcW w:w="1327" w:type="pct"/>
            <w:noWrap w:val="0"/>
            <w:vAlign w:val="center"/>
          </w:tcPr>
          <w:p w14:paraId="68523A9F">
            <w:pPr>
              <w:keepNext w:val="0"/>
              <w:keepLines w:val="0"/>
              <w:widowControl/>
              <w:suppressLineNumbers w:val="0"/>
              <w:ind w:firstLine="720" w:firstLineChars="300"/>
              <w:jc w:val="left"/>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kern w:val="0"/>
                <w:sz w:val="24"/>
                <w:szCs w:val="24"/>
                <w:lang w:val="en-US" w:eastAsia="zh-CN" w:bidi="ar"/>
              </w:rPr>
              <w:t>许红阳</w:t>
            </w:r>
          </w:p>
        </w:tc>
        <w:tc>
          <w:tcPr>
            <w:tcW w:w="1032" w:type="pct"/>
            <w:noWrap w:val="0"/>
            <w:vAlign w:val="center"/>
          </w:tcPr>
          <w:p w14:paraId="3654D65D">
            <w:pPr>
              <w:keepNext w:val="0"/>
              <w:keepLines w:val="0"/>
              <w:pageBreakBefore w:val="0"/>
              <w:widowControl w:val="0"/>
              <w:wordWrap/>
              <w:topLinePunct w:val="0"/>
              <w:bidi w:val="0"/>
              <w:adjustRightInd w:val="0"/>
              <w:snapToGrid w:val="0"/>
              <w:jc w:val="center"/>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kern w:val="0"/>
                <w:sz w:val="24"/>
                <w:szCs w:val="24"/>
                <w:lang w:val="en-US" w:eastAsia="zh-CN" w:bidi="ar"/>
              </w:rPr>
              <w:t>联系方式</w:t>
            </w:r>
          </w:p>
        </w:tc>
        <w:tc>
          <w:tcPr>
            <w:tcW w:w="1498" w:type="pct"/>
            <w:noWrap w:val="0"/>
            <w:vAlign w:val="center"/>
          </w:tcPr>
          <w:p w14:paraId="410707CF">
            <w:pPr>
              <w:keepNext w:val="0"/>
              <w:keepLines w:val="0"/>
              <w:widowControl/>
              <w:suppressLineNumbers w:val="0"/>
              <w:jc w:val="center"/>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kern w:val="0"/>
                <w:sz w:val="24"/>
                <w:szCs w:val="24"/>
                <w:lang w:val="en-US" w:eastAsia="zh-CN" w:bidi="ar"/>
              </w:rPr>
              <w:t>15899117125</w:t>
            </w:r>
          </w:p>
        </w:tc>
      </w:tr>
      <w:tr w14:paraId="3FCE72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142" w:type="pct"/>
            <w:noWrap w:val="0"/>
            <w:tcMar>
              <w:top w:w="16" w:type="dxa"/>
              <w:left w:w="16" w:type="dxa"/>
              <w:right w:w="16" w:type="dxa"/>
            </w:tcMar>
            <w:vAlign w:val="center"/>
          </w:tcPr>
          <w:p w14:paraId="7FD0E213">
            <w:pPr>
              <w:keepNext w:val="0"/>
              <w:keepLines w:val="0"/>
              <w:pageBreakBefore w:val="0"/>
              <w:widowControl w:val="0"/>
              <w:wordWrap/>
              <w:topLinePunct w:val="0"/>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3857" w:type="pct"/>
            <w:gridSpan w:val="3"/>
            <w:noWrap w:val="0"/>
            <w:vAlign w:val="center"/>
          </w:tcPr>
          <w:p w14:paraId="7FAC3AFB">
            <w:pPr>
              <w:keepNext w:val="0"/>
              <w:keepLines w:val="0"/>
              <w:pageBreakBefore w:val="0"/>
              <w:widowControl w:val="0"/>
              <w:wordWrap/>
              <w:topLinePunct w:val="0"/>
              <w:bidi w:val="0"/>
              <w:adjustRightInd w:val="0"/>
              <w:snapToGrid w:val="0"/>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lang w:val="en-US" w:eastAsia="zh-CN"/>
              </w:rPr>
              <w:t>新疆维吾尔自治区乌鲁木齐市甘泉堡经济技术开发区（工业区）</w:t>
            </w:r>
          </w:p>
        </w:tc>
      </w:tr>
      <w:tr w14:paraId="51F7AC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8" w:hRule="atLeast"/>
        </w:trPr>
        <w:tc>
          <w:tcPr>
            <w:tcW w:w="1142" w:type="pct"/>
            <w:noWrap w:val="0"/>
            <w:tcMar>
              <w:top w:w="16" w:type="dxa"/>
              <w:left w:w="16" w:type="dxa"/>
              <w:right w:w="16" w:type="dxa"/>
            </w:tcMar>
            <w:vAlign w:val="center"/>
          </w:tcPr>
          <w:p w14:paraId="77FD6011">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地理坐标</w:t>
            </w:r>
          </w:p>
        </w:tc>
        <w:tc>
          <w:tcPr>
            <w:tcW w:w="3857" w:type="pct"/>
            <w:gridSpan w:val="3"/>
            <w:noWrap w:val="0"/>
            <w:vAlign w:val="center"/>
          </w:tcPr>
          <w:p w14:paraId="2AC579D4">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24"/>
                <w:szCs w:val="24"/>
                <w:highlight w:val="none"/>
                <w:lang w:val="en-US"/>
              </w:rPr>
            </w:pPr>
            <w:r>
              <w:rPr>
                <w:rFonts w:hint="default" w:ascii="Times New Roman" w:hAnsi="Times New Roman" w:cs="Times New Roman"/>
                <w:color w:val="auto"/>
                <w:sz w:val="24"/>
                <w:szCs w:val="24"/>
                <w:highlight w:val="none"/>
                <w:lang w:val="en-US" w:eastAsia="zh-CN"/>
              </w:rPr>
              <w:t>E</w:t>
            </w:r>
            <w:r>
              <w:rPr>
                <w:rFonts w:hint="default" w:ascii="Times New Roman" w:hAnsi="Times New Roman" w:cs="Times New Roman"/>
                <w:color w:val="auto"/>
                <w:sz w:val="24"/>
                <w:szCs w:val="24"/>
                <w:highlight w:val="none"/>
                <w:lang w:val="en-US"/>
              </w:rPr>
              <w:t>87°46′17.799″</w:t>
            </w:r>
            <w:r>
              <w:rPr>
                <w:rFonts w:hint="default" w:ascii="Times New Roman" w:hAnsi="Times New Roman" w:cs="Times New Roman"/>
                <w:color w:val="auto"/>
                <w:sz w:val="24"/>
                <w:szCs w:val="24"/>
                <w:highlight w:val="none"/>
                <w:lang w:val="en-US" w:eastAsia="zh-CN"/>
              </w:rPr>
              <w:t>，N</w:t>
            </w:r>
            <w:r>
              <w:rPr>
                <w:rFonts w:hint="default" w:ascii="Times New Roman" w:hAnsi="Times New Roman" w:cs="Times New Roman"/>
                <w:color w:val="auto"/>
                <w:sz w:val="24"/>
                <w:szCs w:val="24"/>
                <w:highlight w:val="none"/>
                <w:lang w:val="en-US"/>
              </w:rPr>
              <w:t>44°16′39.076″</w:t>
            </w:r>
          </w:p>
        </w:tc>
      </w:tr>
      <w:tr w14:paraId="2A3992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1142" w:type="pct"/>
            <w:noWrap w:val="0"/>
            <w:tcMar>
              <w:top w:w="16" w:type="dxa"/>
              <w:left w:w="16" w:type="dxa"/>
              <w:right w:w="16" w:type="dxa"/>
            </w:tcMar>
            <w:vAlign w:val="center"/>
          </w:tcPr>
          <w:p w14:paraId="06C54D64">
            <w:pPr>
              <w:keepNext w:val="0"/>
              <w:keepLines w:val="0"/>
              <w:pageBreakBefore w:val="0"/>
              <w:widowControl w:val="0"/>
              <w:wordWrap/>
              <w:topLinePunct w:val="0"/>
              <w:bidi w:val="0"/>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建设项目</w:t>
            </w:r>
          </w:p>
          <w:p w14:paraId="460995D8">
            <w:pPr>
              <w:keepNext w:val="0"/>
              <w:keepLines w:val="0"/>
              <w:pageBreakBefore w:val="0"/>
              <w:widowControl w:val="0"/>
              <w:wordWrap/>
              <w:topLinePunct w:val="0"/>
              <w:bidi w:val="0"/>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行业类别</w:t>
            </w:r>
          </w:p>
        </w:tc>
        <w:tc>
          <w:tcPr>
            <w:tcW w:w="1327" w:type="pct"/>
            <w:noWrap w:val="0"/>
            <w:vAlign w:val="center"/>
          </w:tcPr>
          <w:p w14:paraId="5BA9E20D">
            <w:pPr>
              <w:keepNext w:val="0"/>
              <w:keepLines w:val="0"/>
              <w:pageBreakBefore w:val="0"/>
              <w:widowControl w:val="0"/>
              <w:wordWrap/>
              <w:topLinePunct w:val="0"/>
              <w:bidi w:val="0"/>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五十五、核与辐射161输变电工程--其他</w:t>
            </w:r>
          </w:p>
        </w:tc>
        <w:tc>
          <w:tcPr>
            <w:tcW w:w="1032" w:type="pct"/>
            <w:noWrap w:val="0"/>
            <w:vAlign w:val="center"/>
          </w:tcPr>
          <w:p w14:paraId="2A1EF7BD">
            <w:pPr>
              <w:keepNext w:val="0"/>
              <w:keepLines w:val="0"/>
              <w:pageBreakBefore w:val="0"/>
              <w:widowControl w:val="0"/>
              <w:wordWrap/>
              <w:topLinePunct w:val="0"/>
              <w:bidi w:val="0"/>
              <w:adjustRightInd w:val="0"/>
              <w:snapToGrid w:val="0"/>
              <w:jc w:val="center"/>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color w:val="auto"/>
                <w:sz w:val="24"/>
                <w:szCs w:val="24"/>
                <w:highlight w:val="none"/>
                <w:lang w:val="en-US" w:eastAsia="zh-CN"/>
              </w:rPr>
              <w:t>用地（用海）面积（m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）/长度（km）</w:t>
            </w:r>
          </w:p>
        </w:tc>
        <w:tc>
          <w:tcPr>
            <w:tcW w:w="1498" w:type="pct"/>
            <w:noWrap w:val="0"/>
            <w:vAlign w:val="center"/>
          </w:tcPr>
          <w:p w14:paraId="72BAE597">
            <w:pPr>
              <w:keepNext w:val="0"/>
              <w:keepLines w:val="0"/>
              <w:pageBreakBefore w:val="0"/>
              <w:widowControl w:val="0"/>
              <w:kinsoku/>
              <w:wordWrap/>
              <w:overflowPunct/>
              <w:topLinePunct w:val="0"/>
              <w:autoSpaceDE/>
              <w:autoSpaceDN/>
              <w:bidi w:val="0"/>
              <w:adjustRightInd w:val="0"/>
              <w:snapToGrid w:val="0"/>
              <w:spacing w:line="240" w:lineRule="auto"/>
              <w:ind w:right="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永久占地：</w:t>
            </w:r>
            <w:r>
              <w:rPr>
                <w:rFonts w:hint="eastAsia" w:eastAsia="宋体" w:cs="Times New Roman"/>
                <w:color w:val="auto"/>
                <w:sz w:val="24"/>
                <w:szCs w:val="24"/>
                <w:highlight w:val="none"/>
                <w:lang w:val="en-US" w:eastAsia="zh-CN"/>
              </w:rPr>
              <w:t>92234</w:t>
            </w:r>
          </w:p>
          <w:p w14:paraId="65184AE2">
            <w:pPr>
              <w:keepNext w:val="0"/>
              <w:keepLines w:val="0"/>
              <w:pageBreakBefore w:val="0"/>
              <w:widowControl w:val="0"/>
              <w:kinsoku/>
              <w:wordWrap/>
              <w:overflowPunct/>
              <w:topLinePunct w:val="0"/>
              <w:autoSpaceDE/>
              <w:autoSpaceDN/>
              <w:bidi w:val="0"/>
              <w:adjustRightInd w:val="0"/>
              <w:snapToGrid w:val="0"/>
              <w:spacing w:line="240" w:lineRule="auto"/>
              <w:ind w:right="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临时占地：</w:t>
            </w:r>
            <w:r>
              <w:rPr>
                <w:rFonts w:hint="eastAsia" w:eastAsia="宋体" w:cs="Times New Roman"/>
                <w:color w:val="auto"/>
                <w:sz w:val="24"/>
                <w:szCs w:val="24"/>
                <w:highlight w:val="none"/>
                <w:lang w:val="en-US" w:eastAsia="zh-CN"/>
              </w:rPr>
              <w:t>200</w:t>
            </w:r>
          </w:p>
        </w:tc>
      </w:tr>
      <w:tr w14:paraId="612637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142" w:type="pct"/>
            <w:noWrap w:val="0"/>
            <w:tcMar>
              <w:top w:w="16" w:type="dxa"/>
              <w:left w:w="16" w:type="dxa"/>
              <w:right w:w="16" w:type="dxa"/>
            </w:tcMar>
            <w:vAlign w:val="center"/>
          </w:tcPr>
          <w:p w14:paraId="28E52866">
            <w:pPr>
              <w:keepNext w:val="0"/>
              <w:keepLines w:val="0"/>
              <w:pageBreakBefore w:val="0"/>
              <w:widowControl w:val="0"/>
              <w:wordWrap/>
              <w:topLinePunct w:val="0"/>
              <w:bidi w:val="0"/>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建设性质</w:t>
            </w:r>
          </w:p>
        </w:tc>
        <w:tc>
          <w:tcPr>
            <w:tcW w:w="1327" w:type="pct"/>
            <w:noWrap w:val="0"/>
            <w:vAlign w:val="center"/>
          </w:tcPr>
          <w:p w14:paraId="16E36B1D">
            <w:pPr>
              <w:keepNext w:val="0"/>
              <w:keepLines w:val="0"/>
              <w:pageBreakBefore w:val="0"/>
              <w:widowControl w:val="0"/>
              <w:wordWrap/>
              <w:topLinePunct w:val="0"/>
              <w:bidi w:val="0"/>
              <w:adjustRightInd w:val="0"/>
              <w:snapToGrid w:val="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新建（迁建）</w:t>
            </w:r>
          </w:p>
          <w:p w14:paraId="4928B151">
            <w:pPr>
              <w:keepNext w:val="0"/>
              <w:keepLines w:val="0"/>
              <w:pageBreakBefore w:val="0"/>
              <w:widowControl w:val="0"/>
              <w:wordWrap/>
              <w:topLinePunct w:val="0"/>
              <w:bidi w:val="0"/>
              <w:adjustRightInd w:val="0"/>
              <w:snapToGrid w:val="0"/>
              <w:jc w:val="left"/>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改建</w:t>
            </w:r>
          </w:p>
          <w:p w14:paraId="757212B6">
            <w:pPr>
              <w:keepNext w:val="0"/>
              <w:keepLines w:val="0"/>
              <w:pageBreakBefore w:val="0"/>
              <w:widowControl w:val="0"/>
              <w:wordWrap/>
              <w:topLinePunct w:val="0"/>
              <w:bidi w:val="0"/>
              <w:adjustRightInd w:val="0"/>
              <w:snapToGrid w:val="0"/>
              <w:jc w:val="left"/>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扩建</w:t>
            </w:r>
          </w:p>
          <w:p w14:paraId="59511E50">
            <w:pPr>
              <w:keepNext w:val="0"/>
              <w:keepLines w:val="0"/>
              <w:pageBreakBefore w:val="0"/>
              <w:widowControl w:val="0"/>
              <w:wordWrap/>
              <w:topLinePunct w:val="0"/>
              <w:bidi w:val="0"/>
              <w:adjustRightInd w:val="0"/>
              <w:snapToGrid w:val="0"/>
              <w:jc w:val="left"/>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技术改造</w:t>
            </w:r>
          </w:p>
        </w:tc>
        <w:tc>
          <w:tcPr>
            <w:tcW w:w="1032" w:type="pct"/>
            <w:noWrap w:val="0"/>
            <w:vAlign w:val="center"/>
          </w:tcPr>
          <w:p w14:paraId="14E67FDD">
            <w:pPr>
              <w:keepNext w:val="0"/>
              <w:keepLines w:val="0"/>
              <w:pageBreakBefore w:val="0"/>
              <w:widowControl w:val="0"/>
              <w:wordWrap/>
              <w:topLinePunct w:val="0"/>
              <w:bidi w:val="0"/>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建设项目</w:t>
            </w:r>
          </w:p>
          <w:p w14:paraId="3A6E3EA9">
            <w:pPr>
              <w:keepNext w:val="0"/>
              <w:keepLines w:val="0"/>
              <w:pageBreakBefore w:val="0"/>
              <w:widowControl w:val="0"/>
              <w:wordWrap/>
              <w:topLinePunct w:val="0"/>
              <w:bidi w:val="0"/>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申报情形</w:t>
            </w:r>
          </w:p>
        </w:tc>
        <w:tc>
          <w:tcPr>
            <w:tcW w:w="1498" w:type="pct"/>
            <w:noWrap w:val="0"/>
            <w:vAlign w:val="center"/>
          </w:tcPr>
          <w:p w14:paraId="4B77B3FF">
            <w:pPr>
              <w:keepNext w:val="0"/>
              <w:keepLines w:val="0"/>
              <w:pageBreakBefore w:val="0"/>
              <w:widowControl w:val="0"/>
              <w:wordWrap/>
              <w:topLinePunct w:val="0"/>
              <w:bidi w:val="0"/>
              <w:adjustRightInd w:val="0"/>
              <w:snapToGrid w:val="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首次申报项目</w:t>
            </w:r>
          </w:p>
          <w:p w14:paraId="66459CDA">
            <w:pPr>
              <w:keepNext w:val="0"/>
              <w:keepLines w:val="0"/>
              <w:pageBreakBefore w:val="0"/>
              <w:widowControl w:val="0"/>
              <w:wordWrap/>
              <w:topLinePunct w:val="0"/>
              <w:bidi w:val="0"/>
              <w:adjustRightInd w:val="0"/>
              <w:snapToGrid w:val="0"/>
              <w:jc w:val="left"/>
              <w:rPr>
                <w:rFonts w:hint="default" w:ascii="Times New Roman" w:hAnsi="Times New Roman" w:cs="Times New Roman"/>
                <w:color w:val="auto"/>
                <w:spacing w:val="-11"/>
                <w:sz w:val="24"/>
                <w:szCs w:val="24"/>
                <w:highlight w:val="none"/>
              </w:rPr>
            </w:pPr>
            <w:r>
              <w:rPr>
                <w:rFonts w:hint="eastAsia" w:cs="Times New Roman"/>
                <w:color w:val="auto"/>
                <w:spacing w:val="-11"/>
                <w:sz w:val="24"/>
                <w:szCs w:val="24"/>
                <w:highlight w:val="none"/>
                <w:lang w:eastAsia="zh-CN"/>
              </w:rPr>
              <w:t>□</w:t>
            </w:r>
            <w:r>
              <w:rPr>
                <w:rFonts w:hint="default" w:ascii="Times New Roman" w:hAnsi="Times New Roman" w:cs="Times New Roman"/>
                <w:color w:val="auto"/>
                <w:spacing w:val="-11"/>
                <w:sz w:val="24"/>
                <w:szCs w:val="24"/>
                <w:highlight w:val="none"/>
              </w:rPr>
              <w:t>不予批准后再次申报项目</w:t>
            </w:r>
          </w:p>
          <w:p w14:paraId="16358C71">
            <w:pPr>
              <w:keepNext w:val="0"/>
              <w:keepLines w:val="0"/>
              <w:pageBreakBefore w:val="0"/>
              <w:widowControl w:val="0"/>
              <w:wordWrap/>
              <w:topLinePunct w:val="0"/>
              <w:bidi w:val="0"/>
              <w:adjustRightInd w:val="0"/>
              <w:snapToGrid w:val="0"/>
              <w:jc w:val="left"/>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超五年重新审核项目</w:t>
            </w:r>
          </w:p>
          <w:p w14:paraId="722D0421">
            <w:pPr>
              <w:keepNext w:val="0"/>
              <w:keepLines w:val="0"/>
              <w:pageBreakBefore w:val="0"/>
              <w:widowControl w:val="0"/>
              <w:wordWrap/>
              <w:topLinePunct w:val="0"/>
              <w:bidi w:val="0"/>
              <w:adjustRightInd w:val="0"/>
              <w:snapToGrid w:val="0"/>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重大变动重新报批项目</w:t>
            </w:r>
          </w:p>
        </w:tc>
      </w:tr>
      <w:tr w14:paraId="5B3848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24" w:hRule="atLeast"/>
        </w:trPr>
        <w:tc>
          <w:tcPr>
            <w:tcW w:w="1142" w:type="pct"/>
            <w:noWrap w:val="0"/>
            <w:tcMar>
              <w:top w:w="16" w:type="dxa"/>
              <w:left w:w="16" w:type="dxa"/>
              <w:right w:w="16" w:type="dxa"/>
            </w:tcMar>
            <w:vAlign w:val="center"/>
          </w:tcPr>
          <w:p w14:paraId="1DE4244F">
            <w:pPr>
              <w:keepNext w:val="0"/>
              <w:keepLines w:val="0"/>
              <w:pageBreakBefore w:val="0"/>
              <w:widowControl w:val="0"/>
              <w:wordWrap/>
              <w:topLinePunct w:val="0"/>
              <w:bidi w:val="0"/>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项目审批（核准/</w:t>
            </w:r>
          </w:p>
          <w:p w14:paraId="77A6AC9D">
            <w:pPr>
              <w:keepNext w:val="0"/>
              <w:keepLines w:val="0"/>
              <w:pageBreakBefore w:val="0"/>
              <w:widowControl w:val="0"/>
              <w:wordWrap/>
              <w:topLinePunct w:val="0"/>
              <w:bidi w:val="0"/>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备案）部门（选填）</w:t>
            </w:r>
          </w:p>
        </w:tc>
        <w:tc>
          <w:tcPr>
            <w:tcW w:w="1327" w:type="pct"/>
            <w:noWrap w:val="0"/>
            <w:vAlign w:val="center"/>
          </w:tcPr>
          <w:p w14:paraId="67C68DFA">
            <w:pPr>
              <w:keepNext w:val="0"/>
              <w:keepLines w:val="0"/>
              <w:pageBreakBefore w:val="0"/>
              <w:widowControl w:val="0"/>
              <w:wordWrap/>
              <w:topLinePunct w:val="0"/>
              <w:bidi w:val="0"/>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甘泉堡经济技术开发区（工业区）生态环境和产业发展局</w:t>
            </w:r>
          </w:p>
        </w:tc>
        <w:tc>
          <w:tcPr>
            <w:tcW w:w="1032" w:type="pct"/>
            <w:noWrap w:val="0"/>
            <w:vAlign w:val="center"/>
          </w:tcPr>
          <w:p w14:paraId="4375FCFD">
            <w:pPr>
              <w:keepNext w:val="0"/>
              <w:keepLines w:val="0"/>
              <w:pageBreakBefore w:val="0"/>
              <w:widowControl w:val="0"/>
              <w:wordWrap/>
              <w:topLinePunct w:val="0"/>
              <w:bidi w:val="0"/>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项目审批（核准/</w:t>
            </w:r>
          </w:p>
          <w:p w14:paraId="6FAA77E4">
            <w:pPr>
              <w:keepNext w:val="0"/>
              <w:keepLines w:val="0"/>
              <w:pageBreakBefore w:val="0"/>
              <w:widowControl w:val="0"/>
              <w:wordWrap/>
              <w:topLinePunct w:val="0"/>
              <w:bidi w:val="0"/>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备案）文号（选填）</w:t>
            </w:r>
          </w:p>
        </w:tc>
        <w:tc>
          <w:tcPr>
            <w:tcW w:w="1498" w:type="pct"/>
            <w:noWrap w:val="0"/>
            <w:vAlign w:val="center"/>
          </w:tcPr>
          <w:p w14:paraId="68542D36">
            <w:pPr>
              <w:pStyle w:val="7"/>
              <w:keepNext w:val="0"/>
              <w:keepLines w:val="0"/>
              <w:pageBreakBefore w:val="0"/>
              <w:widowControl w:val="0"/>
              <w:wordWrap/>
              <w:topLinePunct w:val="0"/>
              <w:bidi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000000"/>
                <w:sz w:val="24"/>
                <w:szCs w:val="24"/>
              </w:rPr>
              <w:t>2404031121650100000111</w:t>
            </w:r>
          </w:p>
        </w:tc>
      </w:tr>
      <w:tr w14:paraId="15CF22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142" w:type="pct"/>
            <w:noWrap w:val="0"/>
            <w:tcMar>
              <w:top w:w="16" w:type="dxa"/>
              <w:left w:w="16" w:type="dxa"/>
              <w:right w:w="16" w:type="dxa"/>
            </w:tcMar>
            <w:vAlign w:val="center"/>
          </w:tcPr>
          <w:p w14:paraId="019BEE2C">
            <w:pPr>
              <w:keepNext w:val="0"/>
              <w:keepLines w:val="0"/>
              <w:pageBreakBefore w:val="0"/>
              <w:widowControl w:val="0"/>
              <w:wordWrap/>
              <w:topLinePunct w:val="0"/>
              <w:bidi w:val="0"/>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总投资（万元）</w:t>
            </w:r>
          </w:p>
        </w:tc>
        <w:tc>
          <w:tcPr>
            <w:tcW w:w="1327" w:type="pct"/>
            <w:noWrap w:val="0"/>
            <w:vAlign w:val="center"/>
          </w:tcPr>
          <w:p w14:paraId="26929811">
            <w:pPr>
              <w:keepNext w:val="0"/>
              <w:keepLines w:val="0"/>
              <w:pageBreakBefore w:val="0"/>
              <w:widowControl w:val="0"/>
              <w:suppressLineNumbers w:val="0"/>
              <w:wordWrap/>
              <w:topLinePunct w:val="0"/>
              <w:bidi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207000</w:t>
            </w:r>
          </w:p>
        </w:tc>
        <w:tc>
          <w:tcPr>
            <w:tcW w:w="1032" w:type="pct"/>
            <w:noWrap w:val="0"/>
            <w:tcMar>
              <w:top w:w="16" w:type="dxa"/>
              <w:left w:w="16" w:type="dxa"/>
              <w:right w:w="16" w:type="dxa"/>
            </w:tcMar>
            <w:vAlign w:val="center"/>
          </w:tcPr>
          <w:p w14:paraId="5B45A4BD">
            <w:pPr>
              <w:keepNext w:val="0"/>
              <w:keepLines w:val="0"/>
              <w:pageBreakBefore w:val="0"/>
              <w:widowControl w:val="0"/>
              <w:wordWrap/>
              <w:topLinePunct w:val="0"/>
              <w:bidi w:val="0"/>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环保投资（万元）</w:t>
            </w:r>
          </w:p>
        </w:tc>
        <w:tc>
          <w:tcPr>
            <w:tcW w:w="1498" w:type="pct"/>
            <w:noWrap w:val="0"/>
            <w:vAlign w:val="center"/>
          </w:tcPr>
          <w:p w14:paraId="5A114859">
            <w:pPr>
              <w:keepNext w:val="0"/>
              <w:keepLines w:val="0"/>
              <w:pageBreakBefore w:val="0"/>
              <w:widowControl w:val="0"/>
              <w:wordWrap/>
              <w:topLinePunct w:val="0"/>
              <w:bidi w:val="0"/>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99</w:t>
            </w:r>
          </w:p>
        </w:tc>
      </w:tr>
      <w:tr w14:paraId="3DCF9D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1142" w:type="pct"/>
            <w:noWrap w:val="0"/>
            <w:tcMar>
              <w:top w:w="16" w:type="dxa"/>
              <w:left w:w="16" w:type="dxa"/>
              <w:right w:w="16" w:type="dxa"/>
            </w:tcMar>
            <w:vAlign w:val="center"/>
          </w:tcPr>
          <w:p w14:paraId="55E6AB7D">
            <w:pPr>
              <w:keepNext w:val="0"/>
              <w:keepLines w:val="0"/>
              <w:pageBreakBefore w:val="0"/>
              <w:widowControl w:val="0"/>
              <w:wordWrap/>
              <w:topLinePunct w:val="0"/>
              <w:bidi w:val="0"/>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环保投资占比（%）</w:t>
            </w:r>
          </w:p>
        </w:tc>
        <w:tc>
          <w:tcPr>
            <w:tcW w:w="1327" w:type="pct"/>
            <w:noWrap w:val="0"/>
            <w:vAlign w:val="center"/>
          </w:tcPr>
          <w:p w14:paraId="71A5363D">
            <w:pPr>
              <w:keepNext w:val="0"/>
              <w:keepLines w:val="0"/>
              <w:pageBreakBefore w:val="0"/>
              <w:widowControl w:val="0"/>
              <w:wordWrap/>
              <w:topLinePunct w:val="0"/>
              <w:bidi w:val="0"/>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0.05</w:t>
            </w:r>
          </w:p>
        </w:tc>
        <w:tc>
          <w:tcPr>
            <w:tcW w:w="1032" w:type="pct"/>
            <w:noWrap w:val="0"/>
            <w:tcMar>
              <w:top w:w="16" w:type="dxa"/>
              <w:left w:w="16" w:type="dxa"/>
              <w:right w:w="16" w:type="dxa"/>
            </w:tcMar>
            <w:vAlign w:val="center"/>
          </w:tcPr>
          <w:p w14:paraId="63D03610">
            <w:pPr>
              <w:keepNext w:val="0"/>
              <w:keepLines w:val="0"/>
              <w:pageBreakBefore w:val="0"/>
              <w:widowControl w:val="0"/>
              <w:wordWrap/>
              <w:topLinePunct w:val="0"/>
              <w:bidi w:val="0"/>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施工工期</w:t>
            </w:r>
          </w:p>
        </w:tc>
        <w:tc>
          <w:tcPr>
            <w:tcW w:w="1498" w:type="pct"/>
            <w:noWrap w:val="0"/>
            <w:vAlign w:val="center"/>
          </w:tcPr>
          <w:p w14:paraId="0670E19A">
            <w:pPr>
              <w:keepNext w:val="0"/>
              <w:keepLines w:val="0"/>
              <w:pageBreakBefore w:val="0"/>
              <w:widowControl w:val="0"/>
              <w:wordWrap/>
              <w:topLinePunct w:val="0"/>
              <w:bidi w:val="0"/>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6个月</w:t>
            </w:r>
          </w:p>
        </w:tc>
      </w:tr>
      <w:tr w14:paraId="0ECBF4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142" w:type="pct"/>
            <w:noWrap w:val="0"/>
            <w:tcMar>
              <w:top w:w="16" w:type="dxa"/>
              <w:left w:w="16" w:type="dxa"/>
              <w:right w:w="16" w:type="dxa"/>
            </w:tcMar>
            <w:vAlign w:val="center"/>
          </w:tcPr>
          <w:p w14:paraId="4A1F6416">
            <w:pPr>
              <w:keepNext w:val="0"/>
              <w:keepLines w:val="0"/>
              <w:pageBreakBefore w:val="0"/>
              <w:widowControl w:val="0"/>
              <w:wordWrap/>
              <w:topLinePunct w:val="0"/>
              <w:bidi w:val="0"/>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是否开工建设</w:t>
            </w:r>
          </w:p>
        </w:tc>
        <w:tc>
          <w:tcPr>
            <w:tcW w:w="3857" w:type="pct"/>
            <w:gridSpan w:val="3"/>
            <w:noWrap w:val="0"/>
            <w:vAlign w:val="center"/>
          </w:tcPr>
          <w:p w14:paraId="59F927E9">
            <w:pPr>
              <w:keepNext w:val="0"/>
              <w:keepLines w:val="0"/>
              <w:pageBreakBefore w:val="0"/>
              <w:widowControl w:val="0"/>
              <w:wordWrap/>
              <w:topLinePunct w:val="0"/>
              <w:bidi w:val="0"/>
              <w:adjustRightInd w:val="0"/>
              <w:snapToGrid w:val="0"/>
              <w:ind w:firstLine="105"/>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否</w:t>
            </w:r>
          </w:p>
          <w:p w14:paraId="6E4457F8">
            <w:pPr>
              <w:keepNext w:val="0"/>
              <w:keepLines w:val="0"/>
              <w:pageBreakBefore w:val="0"/>
              <w:widowControl w:val="0"/>
              <w:wordWrap/>
              <w:topLinePunct w:val="0"/>
              <w:bidi w:val="0"/>
              <w:adjustRightInd w:val="0"/>
              <w:snapToGrid w:val="0"/>
              <w:ind w:firstLine="92"/>
              <w:jc w:val="left"/>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是：</w:t>
            </w:r>
            <w:r>
              <w:rPr>
                <w:rFonts w:hint="default" w:ascii="Times New Roman" w:hAnsi="Times New Roman" w:cs="Times New Roman"/>
                <w:color w:val="auto"/>
                <w:sz w:val="24"/>
                <w:szCs w:val="24"/>
                <w:highlight w:val="none"/>
                <w:u w:val="single"/>
              </w:rPr>
              <w:t xml:space="preserve">                             </w:t>
            </w:r>
          </w:p>
        </w:tc>
      </w:tr>
      <w:tr w14:paraId="1D27FD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142" w:type="pct"/>
            <w:noWrap w:val="0"/>
            <w:tcMar>
              <w:top w:w="16" w:type="dxa"/>
              <w:left w:w="16" w:type="dxa"/>
              <w:right w:w="16" w:type="dxa"/>
            </w:tcMar>
            <w:vAlign w:val="center"/>
          </w:tcPr>
          <w:p w14:paraId="2F0F63C4">
            <w:pPr>
              <w:keepNext w:val="0"/>
              <w:keepLines w:val="0"/>
              <w:pageBreakBefore w:val="0"/>
              <w:widowControl w:val="0"/>
              <w:wordWrap/>
              <w:topLinePunct w:val="0"/>
              <w:autoSpaceDE w:val="0"/>
              <w:autoSpaceDN w:val="0"/>
              <w:bidi w:val="0"/>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专项评价设置情况</w:t>
            </w:r>
          </w:p>
        </w:tc>
        <w:tc>
          <w:tcPr>
            <w:tcW w:w="3857" w:type="pct"/>
            <w:gridSpan w:val="3"/>
            <w:noWrap w:val="0"/>
            <w:tcMar>
              <w:top w:w="16" w:type="dxa"/>
              <w:left w:w="16" w:type="dxa"/>
              <w:right w:w="16" w:type="dxa"/>
            </w:tcMar>
            <w:vAlign w:val="center"/>
          </w:tcPr>
          <w:p w14:paraId="5D9AAC0D">
            <w:pPr>
              <w:pStyle w:val="7"/>
              <w:keepNext w:val="0"/>
              <w:keepLines w:val="0"/>
              <w:pageBreakBefore w:val="0"/>
              <w:widowControl w:val="0"/>
              <w:wordWrap/>
              <w:topLinePunct w:val="0"/>
              <w:bidi w:val="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spacing w:val="-6"/>
                <w:kern w:val="0"/>
                <w:sz w:val="24"/>
                <w:szCs w:val="24"/>
                <w:highlight w:val="none"/>
                <w:lang w:val="en-US" w:eastAsia="zh-CN" w:bidi="ar-SA"/>
              </w:rPr>
              <w:t>根据《环境影响评价技术导则 输变电》（HJ24-2020）附录B要求：输变电建设项目环境影响报告表应设电磁环境影响专题评价，本项目属于编制环境影响报告表的建设项目，因此设置电磁环境影响专题评价。</w:t>
            </w:r>
          </w:p>
        </w:tc>
      </w:tr>
      <w:tr w14:paraId="1C4AB6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03" w:hRule="atLeast"/>
        </w:trPr>
        <w:tc>
          <w:tcPr>
            <w:tcW w:w="1142" w:type="pct"/>
            <w:noWrap w:val="0"/>
            <w:tcMar>
              <w:top w:w="16" w:type="dxa"/>
              <w:left w:w="16" w:type="dxa"/>
              <w:right w:w="16" w:type="dxa"/>
            </w:tcMar>
            <w:vAlign w:val="center"/>
          </w:tcPr>
          <w:p w14:paraId="33DB7329">
            <w:pPr>
              <w:keepNext w:val="0"/>
              <w:keepLines w:val="0"/>
              <w:pageBreakBefore w:val="0"/>
              <w:widowControl w:val="0"/>
              <w:wordWrap/>
              <w:topLinePunct w:val="0"/>
              <w:autoSpaceDE w:val="0"/>
              <w:autoSpaceDN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规划情况</w:t>
            </w:r>
          </w:p>
        </w:tc>
        <w:tc>
          <w:tcPr>
            <w:tcW w:w="3857" w:type="pct"/>
            <w:gridSpan w:val="3"/>
            <w:noWrap w:val="0"/>
            <w:tcMar>
              <w:top w:w="16" w:type="dxa"/>
              <w:left w:w="16" w:type="dxa"/>
              <w:right w:w="16" w:type="dxa"/>
            </w:tcMar>
            <w:vAlign w:val="center"/>
          </w:tcPr>
          <w:p w14:paraId="56F3BE77">
            <w:pPr>
              <w:keepNext w:val="0"/>
              <w:keepLines w:val="0"/>
              <w:pageBreakBefore w:val="0"/>
              <w:widowControl w:val="0"/>
              <w:wordWrap/>
              <w:topLinePunct w:val="0"/>
              <w:autoSpaceDE w:val="0"/>
              <w:autoSpaceDN w:val="0"/>
              <w:bidi w:val="0"/>
              <w:adjustRightInd w:val="0"/>
              <w:snapToGrid w:val="0"/>
              <w:jc w:val="left"/>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1</w:t>
            </w:r>
            <w:r>
              <w:rPr>
                <w:rFonts w:hint="default" w:ascii="Times New Roman" w:hAnsi="Times New Roman" w:eastAsia="宋体" w:cs="Times New Roman"/>
                <w:color w:val="auto"/>
                <w:kern w:val="0"/>
                <w:sz w:val="24"/>
                <w:szCs w:val="24"/>
                <w:highlight w:val="none"/>
                <w:lang w:eastAsia="zh-CN"/>
              </w:rPr>
              <w:t>）规划名称：</w:t>
            </w:r>
            <w:r>
              <w:rPr>
                <w:rFonts w:hint="eastAsia" w:eastAsia="宋体" w:cs="Times New Roman"/>
                <w:color w:val="auto"/>
                <w:kern w:val="0"/>
                <w:sz w:val="24"/>
                <w:szCs w:val="24"/>
                <w:highlight w:val="none"/>
                <w:lang w:eastAsia="zh-CN"/>
              </w:rPr>
              <w:t>《</w:t>
            </w:r>
            <w:r>
              <w:rPr>
                <w:rFonts w:hint="eastAsia" w:eastAsia="宋体" w:cs="Times New Roman"/>
                <w:color w:val="auto"/>
                <w:kern w:val="0"/>
                <w:sz w:val="24"/>
                <w:szCs w:val="24"/>
                <w:highlight w:val="none"/>
                <w:lang w:val="en-US" w:eastAsia="zh-CN"/>
              </w:rPr>
              <w:t>甘泉堡工业园总体规划（2016-2030年）</w:t>
            </w:r>
            <w:r>
              <w:rPr>
                <w:rFonts w:hint="eastAsia"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eastAsia="zh-CN"/>
              </w:rPr>
              <w:t>；</w:t>
            </w:r>
          </w:p>
          <w:p w14:paraId="60373C5A">
            <w:pPr>
              <w:keepNext w:val="0"/>
              <w:keepLines w:val="0"/>
              <w:pageBreakBefore w:val="0"/>
              <w:widowControl w:val="0"/>
              <w:wordWrap/>
              <w:topLinePunct w:val="0"/>
              <w:autoSpaceDE w:val="0"/>
              <w:autoSpaceDN w:val="0"/>
              <w:bidi w:val="0"/>
              <w:adjustRightInd w:val="0"/>
              <w:snapToGrid w:val="0"/>
              <w:jc w:val="left"/>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2</w:t>
            </w:r>
            <w:r>
              <w:rPr>
                <w:rFonts w:hint="default" w:ascii="Times New Roman" w:hAnsi="Times New Roman" w:eastAsia="宋体" w:cs="Times New Roman"/>
                <w:color w:val="auto"/>
                <w:kern w:val="0"/>
                <w:sz w:val="24"/>
                <w:szCs w:val="24"/>
                <w:highlight w:val="none"/>
                <w:lang w:eastAsia="zh-CN"/>
              </w:rPr>
              <w:t>）审批机关：</w:t>
            </w:r>
            <w:r>
              <w:rPr>
                <w:rFonts w:hint="eastAsia" w:eastAsia="宋体" w:cs="Times New Roman"/>
                <w:color w:val="auto"/>
                <w:kern w:val="0"/>
                <w:sz w:val="24"/>
                <w:szCs w:val="24"/>
                <w:highlight w:val="none"/>
                <w:lang w:val="en-US" w:eastAsia="zh-CN"/>
              </w:rPr>
              <w:t>新疆维吾尔自治区人民政府</w:t>
            </w:r>
            <w:r>
              <w:rPr>
                <w:rFonts w:hint="default" w:ascii="Times New Roman" w:hAnsi="Times New Roman" w:eastAsia="宋体" w:cs="Times New Roman"/>
                <w:color w:val="auto"/>
                <w:kern w:val="0"/>
                <w:sz w:val="24"/>
                <w:szCs w:val="24"/>
                <w:highlight w:val="none"/>
                <w:lang w:eastAsia="zh-CN"/>
              </w:rPr>
              <w:t>；</w:t>
            </w:r>
          </w:p>
          <w:p w14:paraId="66D7C3BC">
            <w:pPr>
              <w:keepNext w:val="0"/>
              <w:keepLines w:val="0"/>
              <w:pageBreakBefore w:val="0"/>
              <w:widowControl w:val="0"/>
              <w:wordWrap/>
              <w:topLinePunct w:val="0"/>
              <w:autoSpaceDE w:val="0"/>
              <w:autoSpaceDN w:val="0"/>
              <w:bidi w:val="0"/>
              <w:adjustRightInd w:val="0"/>
              <w:snapToGrid w:val="0"/>
              <w:jc w:val="left"/>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3</w:t>
            </w:r>
            <w:r>
              <w:rPr>
                <w:rFonts w:hint="default" w:ascii="Times New Roman" w:hAnsi="Times New Roman" w:eastAsia="宋体" w:cs="Times New Roman"/>
                <w:color w:val="auto"/>
                <w:kern w:val="0"/>
                <w:sz w:val="24"/>
                <w:szCs w:val="24"/>
                <w:highlight w:val="none"/>
                <w:lang w:eastAsia="zh-CN"/>
              </w:rPr>
              <w:t>）审查名称及文号：</w:t>
            </w:r>
            <w:r>
              <w:rPr>
                <w:rFonts w:hint="eastAsia" w:eastAsia="宋体" w:cs="Times New Roman"/>
                <w:color w:val="auto"/>
                <w:kern w:val="0"/>
                <w:sz w:val="24"/>
                <w:szCs w:val="24"/>
                <w:highlight w:val="none"/>
                <w:lang w:eastAsia="zh-CN"/>
              </w:rPr>
              <w:t>《</w:t>
            </w:r>
            <w:r>
              <w:rPr>
                <w:rFonts w:hint="eastAsia" w:eastAsia="宋体" w:cs="Times New Roman"/>
                <w:color w:val="auto"/>
                <w:kern w:val="0"/>
                <w:sz w:val="24"/>
                <w:szCs w:val="24"/>
                <w:highlight w:val="none"/>
                <w:lang w:val="en-US" w:eastAsia="zh-CN"/>
              </w:rPr>
              <w:t>关于甘泉堡工业园总体规划（2016-2030年）的批复</w:t>
            </w:r>
            <w:r>
              <w:rPr>
                <w:rFonts w:hint="eastAsia" w:eastAsia="宋体" w:cs="Times New Roman"/>
                <w:color w:val="auto"/>
                <w:kern w:val="0"/>
                <w:sz w:val="24"/>
                <w:szCs w:val="24"/>
                <w:highlight w:val="none"/>
                <w:lang w:eastAsia="zh-CN"/>
              </w:rPr>
              <w:t>》，</w:t>
            </w:r>
            <w:r>
              <w:rPr>
                <w:rFonts w:hint="eastAsia" w:eastAsia="宋体" w:cs="Times New Roman"/>
                <w:color w:val="auto"/>
                <w:kern w:val="0"/>
                <w:sz w:val="24"/>
                <w:szCs w:val="24"/>
                <w:highlight w:val="none"/>
                <w:lang w:val="en-US" w:eastAsia="zh-CN"/>
              </w:rPr>
              <w:t>新政函</w:t>
            </w:r>
            <w:r>
              <w:rPr>
                <w:rFonts w:hint="eastAsia" w:ascii="宋体" w:hAnsi="宋体" w:eastAsia="宋体" w:cs="宋体"/>
                <w:color w:val="auto"/>
                <w:kern w:val="0"/>
                <w:sz w:val="24"/>
                <w:szCs w:val="24"/>
                <w:highlight w:val="none"/>
                <w:lang w:val="en-US" w:eastAsia="zh-CN"/>
              </w:rPr>
              <w:t>〔</w:t>
            </w:r>
            <w:r>
              <w:rPr>
                <w:rFonts w:hint="eastAsia" w:eastAsia="宋体" w:cs="Times New Roman"/>
                <w:color w:val="auto"/>
                <w:kern w:val="0"/>
                <w:sz w:val="24"/>
                <w:szCs w:val="24"/>
                <w:highlight w:val="none"/>
                <w:lang w:val="en-US" w:eastAsia="zh-CN"/>
              </w:rPr>
              <w:t>2017</w:t>
            </w:r>
            <w:r>
              <w:rPr>
                <w:rFonts w:hint="eastAsia" w:ascii="宋体" w:hAnsi="宋体" w:eastAsia="宋体" w:cs="宋体"/>
                <w:color w:val="auto"/>
                <w:kern w:val="0"/>
                <w:sz w:val="24"/>
                <w:szCs w:val="24"/>
                <w:highlight w:val="none"/>
                <w:lang w:val="en-US" w:eastAsia="zh-CN"/>
              </w:rPr>
              <w:t>〕</w:t>
            </w:r>
            <w:r>
              <w:rPr>
                <w:rFonts w:hint="eastAsia" w:eastAsia="宋体" w:cs="Times New Roman"/>
                <w:color w:val="auto"/>
                <w:kern w:val="0"/>
                <w:sz w:val="24"/>
                <w:szCs w:val="24"/>
                <w:highlight w:val="none"/>
                <w:lang w:val="en-US" w:eastAsia="zh-CN"/>
              </w:rPr>
              <w:t>42号</w:t>
            </w:r>
            <w:r>
              <w:rPr>
                <w:rFonts w:hint="default" w:ascii="Times New Roman" w:hAnsi="Times New Roman" w:eastAsia="宋体" w:cs="Times New Roman"/>
                <w:color w:val="auto"/>
                <w:kern w:val="0"/>
                <w:sz w:val="24"/>
                <w:szCs w:val="24"/>
                <w:highlight w:val="none"/>
                <w:lang w:eastAsia="zh-CN"/>
              </w:rPr>
              <w:t>；</w:t>
            </w:r>
          </w:p>
        </w:tc>
      </w:tr>
      <w:tr w14:paraId="5CFFA4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05" w:hRule="atLeast"/>
        </w:trPr>
        <w:tc>
          <w:tcPr>
            <w:tcW w:w="1142" w:type="pct"/>
            <w:noWrap w:val="0"/>
            <w:tcMar>
              <w:top w:w="16" w:type="dxa"/>
              <w:left w:w="16" w:type="dxa"/>
              <w:right w:w="16" w:type="dxa"/>
            </w:tcMar>
            <w:vAlign w:val="center"/>
          </w:tcPr>
          <w:p w14:paraId="7033D65B">
            <w:pPr>
              <w:keepNext w:val="0"/>
              <w:keepLines w:val="0"/>
              <w:pageBreakBefore w:val="0"/>
              <w:widowControl w:val="0"/>
              <w:wordWrap/>
              <w:topLinePunct w:val="0"/>
              <w:autoSpaceDE w:val="0"/>
              <w:autoSpaceDN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规划环境影响</w:t>
            </w:r>
          </w:p>
          <w:p w14:paraId="4D25A893">
            <w:pPr>
              <w:keepNext w:val="0"/>
              <w:keepLines w:val="0"/>
              <w:pageBreakBefore w:val="0"/>
              <w:widowControl w:val="0"/>
              <w:wordWrap/>
              <w:topLinePunct w:val="0"/>
              <w:autoSpaceDE w:val="0"/>
              <w:autoSpaceDN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评价情况</w:t>
            </w:r>
          </w:p>
        </w:tc>
        <w:tc>
          <w:tcPr>
            <w:tcW w:w="3857" w:type="pct"/>
            <w:gridSpan w:val="3"/>
            <w:noWrap w:val="0"/>
            <w:tcMar>
              <w:top w:w="16" w:type="dxa"/>
              <w:left w:w="16" w:type="dxa"/>
              <w:right w:w="16" w:type="dxa"/>
            </w:tcMar>
            <w:vAlign w:val="center"/>
          </w:tcPr>
          <w:p w14:paraId="31B5ED81">
            <w:pPr>
              <w:keepNext w:val="0"/>
              <w:keepLines w:val="0"/>
              <w:pageBreakBefore w:val="0"/>
              <w:widowControl w:val="0"/>
              <w:wordWrap/>
              <w:topLinePunct w:val="0"/>
              <w:autoSpaceDE w:val="0"/>
              <w:autoSpaceDN w:val="0"/>
              <w:bidi w:val="0"/>
              <w:adjustRightInd w:val="0"/>
              <w:snapToGrid w:val="0"/>
              <w:jc w:val="both"/>
              <w:rPr>
                <w:rFonts w:hint="default" w:ascii="Times New Roman" w:hAnsi="Times New Roman" w:eastAsia="宋体" w:cs="Times New Roman"/>
                <w:color w:val="auto"/>
                <w:kern w:val="0"/>
                <w:sz w:val="24"/>
                <w:szCs w:val="24"/>
                <w:highlight w:val="none"/>
                <w:lang w:eastAsia="zh-CN"/>
              </w:rPr>
            </w:pP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1</w:t>
            </w:r>
            <w:r>
              <w:rPr>
                <w:rFonts w:hint="eastAsia"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eastAsia="zh-CN"/>
              </w:rPr>
              <w:t>规划环境影响评价文件名称：《</w:t>
            </w:r>
            <w:r>
              <w:rPr>
                <w:rFonts w:hint="eastAsia" w:ascii="Times New Roman" w:hAnsi="Times New Roman" w:eastAsia="宋体" w:cs="Times New Roman"/>
                <w:color w:val="auto"/>
                <w:kern w:val="0"/>
                <w:sz w:val="24"/>
                <w:szCs w:val="24"/>
                <w:highlight w:val="none"/>
                <w:lang w:val="en-US" w:eastAsia="zh-CN"/>
              </w:rPr>
              <w:t>甘泉堡工业园总体规划（2016-2030年）</w:t>
            </w:r>
            <w:r>
              <w:rPr>
                <w:rFonts w:hint="default" w:ascii="Times New Roman" w:hAnsi="Times New Roman" w:eastAsia="宋体" w:cs="Times New Roman"/>
                <w:color w:val="auto"/>
                <w:kern w:val="0"/>
                <w:sz w:val="24"/>
                <w:szCs w:val="24"/>
                <w:highlight w:val="none"/>
                <w:lang w:eastAsia="zh-CN"/>
              </w:rPr>
              <w:t>环境影响报告书》；</w:t>
            </w:r>
          </w:p>
          <w:p w14:paraId="73228881">
            <w:pPr>
              <w:keepNext w:val="0"/>
              <w:keepLines w:val="0"/>
              <w:pageBreakBefore w:val="0"/>
              <w:widowControl w:val="0"/>
              <w:wordWrap/>
              <w:topLinePunct w:val="0"/>
              <w:autoSpaceDE w:val="0"/>
              <w:autoSpaceDN w:val="0"/>
              <w:bidi w:val="0"/>
              <w:adjustRightInd w:val="0"/>
              <w:snapToGrid w:val="0"/>
              <w:jc w:val="both"/>
              <w:rPr>
                <w:rFonts w:hint="default" w:ascii="Times New Roman" w:hAnsi="Times New Roman" w:eastAsia="宋体" w:cs="Times New Roman"/>
                <w:color w:val="auto"/>
                <w:kern w:val="0"/>
                <w:sz w:val="24"/>
                <w:szCs w:val="24"/>
                <w:highlight w:val="none"/>
                <w:lang w:eastAsia="zh-CN"/>
              </w:rPr>
            </w:pP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2</w:t>
            </w:r>
            <w:r>
              <w:rPr>
                <w:rFonts w:hint="eastAsia"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eastAsia="zh-CN"/>
              </w:rPr>
              <w:t>审批机关：</w:t>
            </w:r>
            <w:r>
              <w:rPr>
                <w:rFonts w:hint="eastAsia" w:ascii="Times New Roman" w:hAnsi="Times New Roman" w:eastAsia="宋体" w:cs="Times New Roman"/>
                <w:color w:val="auto"/>
                <w:kern w:val="0"/>
                <w:sz w:val="24"/>
                <w:szCs w:val="24"/>
                <w:highlight w:val="none"/>
                <w:lang w:val="en-US" w:eastAsia="zh-CN"/>
              </w:rPr>
              <w:t>原</w:t>
            </w:r>
            <w:r>
              <w:rPr>
                <w:rFonts w:hint="default" w:ascii="Times New Roman" w:hAnsi="Times New Roman" w:eastAsia="宋体" w:cs="Times New Roman"/>
                <w:color w:val="auto"/>
                <w:kern w:val="0"/>
                <w:sz w:val="24"/>
                <w:szCs w:val="24"/>
                <w:highlight w:val="none"/>
                <w:lang w:eastAsia="zh-CN"/>
              </w:rPr>
              <w:t>新疆维吾尔自治区环境保护厅；</w:t>
            </w:r>
          </w:p>
          <w:p w14:paraId="3BD398DB">
            <w:pPr>
              <w:keepNext w:val="0"/>
              <w:keepLines w:val="0"/>
              <w:pageBreakBefore w:val="0"/>
              <w:widowControl w:val="0"/>
              <w:wordWrap/>
              <w:topLinePunct w:val="0"/>
              <w:autoSpaceDE w:val="0"/>
              <w:autoSpaceDN w:val="0"/>
              <w:bidi w:val="0"/>
              <w:adjustRightInd w:val="0"/>
              <w:snapToGrid w:val="0"/>
              <w:jc w:val="both"/>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3</w:t>
            </w:r>
            <w:r>
              <w:rPr>
                <w:rFonts w:hint="eastAsia"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eastAsia="zh-CN"/>
              </w:rPr>
              <w:t>审批文件名称及文号：</w:t>
            </w:r>
            <w:r>
              <w:rPr>
                <w:rFonts w:hint="default" w:ascii="Times New Roman" w:hAnsi="Times New Roman" w:eastAsia="宋体" w:cs="Times New Roman"/>
                <w:color w:val="auto"/>
                <w:kern w:val="0"/>
                <w:sz w:val="24"/>
                <w:szCs w:val="24"/>
                <w:highlight w:val="none"/>
              </w:rPr>
              <w:t>《关于</w:t>
            </w:r>
            <w:r>
              <w:rPr>
                <w:rFonts w:hint="eastAsia" w:ascii="Times New Roman" w:hAnsi="Times New Roman" w:eastAsia="宋体" w:cs="Times New Roman"/>
                <w:color w:val="auto"/>
                <w:kern w:val="0"/>
                <w:sz w:val="24"/>
                <w:szCs w:val="24"/>
                <w:highlight w:val="none"/>
                <w:lang w:val="en-US" w:eastAsia="zh-CN"/>
              </w:rPr>
              <w:t>甘泉堡工业园总体规划（2016-2030年）</w:t>
            </w:r>
            <w:r>
              <w:rPr>
                <w:rFonts w:hint="default" w:ascii="Times New Roman" w:hAnsi="Times New Roman" w:eastAsia="宋体" w:cs="Times New Roman"/>
                <w:color w:val="auto"/>
                <w:kern w:val="0"/>
                <w:sz w:val="24"/>
                <w:szCs w:val="24"/>
                <w:highlight w:val="none"/>
                <w:lang w:eastAsia="zh-CN"/>
              </w:rPr>
              <w:t>环境影响报告书</w:t>
            </w:r>
            <w:r>
              <w:rPr>
                <w:rFonts w:hint="eastAsia" w:ascii="Times New Roman" w:hAnsi="Times New Roman" w:eastAsia="宋体" w:cs="Times New Roman"/>
                <w:color w:val="auto"/>
                <w:kern w:val="0"/>
                <w:sz w:val="24"/>
                <w:szCs w:val="24"/>
                <w:highlight w:val="none"/>
                <w:lang w:val="en-US" w:eastAsia="zh-CN"/>
              </w:rPr>
              <w:t>的审查意见</w:t>
            </w:r>
            <w:r>
              <w:rPr>
                <w:rFonts w:hint="default" w:ascii="Times New Roman" w:hAnsi="Times New Roman" w:eastAsia="宋体" w:cs="Times New Roman"/>
                <w:color w:val="auto"/>
                <w:kern w:val="0"/>
                <w:sz w:val="24"/>
                <w:szCs w:val="24"/>
                <w:highlight w:val="none"/>
              </w:rPr>
              <w:t>》</w:t>
            </w:r>
            <w:r>
              <w:rPr>
                <w:rFonts w:hint="eastAsia"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新环函[2016]</w:t>
            </w:r>
            <w:r>
              <w:rPr>
                <w:rFonts w:hint="eastAsia" w:ascii="Times New Roman" w:hAnsi="Times New Roman" w:eastAsia="宋体" w:cs="Times New Roman"/>
                <w:color w:val="auto"/>
                <w:kern w:val="0"/>
                <w:sz w:val="24"/>
                <w:szCs w:val="24"/>
                <w:highlight w:val="none"/>
                <w:lang w:val="en-US" w:eastAsia="zh-CN"/>
              </w:rPr>
              <w:t>368</w:t>
            </w:r>
            <w:r>
              <w:rPr>
                <w:rFonts w:hint="default" w:ascii="Times New Roman" w:hAnsi="Times New Roman" w:eastAsia="宋体" w:cs="Times New Roman"/>
                <w:color w:val="auto"/>
                <w:kern w:val="0"/>
                <w:sz w:val="24"/>
                <w:szCs w:val="24"/>
                <w:highlight w:val="none"/>
              </w:rPr>
              <w:t>号</w:t>
            </w:r>
            <w:r>
              <w:rPr>
                <w:rFonts w:hint="eastAsia" w:ascii="Times New Roman" w:hAnsi="Times New Roman" w:eastAsia="宋体" w:cs="Times New Roman"/>
                <w:color w:val="auto"/>
                <w:kern w:val="0"/>
                <w:sz w:val="24"/>
                <w:szCs w:val="24"/>
                <w:highlight w:val="none"/>
                <w:lang w:eastAsia="zh-CN"/>
              </w:rPr>
              <w:t>；</w:t>
            </w:r>
          </w:p>
        </w:tc>
      </w:tr>
      <w:tr w14:paraId="6DC4A8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82" w:hRule="atLeast"/>
        </w:trPr>
        <w:tc>
          <w:tcPr>
            <w:tcW w:w="1142" w:type="pct"/>
            <w:noWrap w:val="0"/>
            <w:tcMar>
              <w:top w:w="16" w:type="dxa"/>
              <w:left w:w="16" w:type="dxa"/>
              <w:right w:w="16" w:type="dxa"/>
            </w:tcMar>
            <w:vAlign w:val="center"/>
          </w:tcPr>
          <w:p w14:paraId="35717406">
            <w:pPr>
              <w:keepNext w:val="0"/>
              <w:keepLines w:val="0"/>
              <w:pageBreakBefore w:val="0"/>
              <w:widowControl w:val="0"/>
              <w:wordWrap/>
              <w:topLinePunct w:val="0"/>
              <w:autoSpaceDE w:val="0"/>
              <w:autoSpaceDN w:val="0"/>
              <w:bidi w:val="0"/>
              <w:adjustRightInd w:val="0"/>
              <w:snapToGrid w:val="0"/>
              <w:jc w:val="center"/>
              <w:rPr>
                <w:rFonts w:hint="default" w:ascii="Times New Roman" w:hAnsi="Times New Roman" w:eastAsia="宋体" w:cs="Times New Roman"/>
                <w:color w:val="auto"/>
                <w:kern w:val="0"/>
                <w:sz w:val="24"/>
                <w:szCs w:val="24"/>
                <w:highlight w:val="none"/>
              </w:rPr>
            </w:pPr>
          </w:p>
          <w:p w14:paraId="79305B05">
            <w:pPr>
              <w:keepNext w:val="0"/>
              <w:keepLines w:val="0"/>
              <w:pageBreakBefore w:val="0"/>
              <w:widowControl w:val="0"/>
              <w:wordWrap/>
              <w:topLinePunct w:val="0"/>
              <w:autoSpaceDE w:val="0"/>
              <w:autoSpaceDN w:val="0"/>
              <w:bidi w:val="0"/>
              <w:adjustRightInd w:val="0"/>
              <w:snapToGrid w:val="0"/>
              <w:jc w:val="center"/>
              <w:rPr>
                <w:rFonts w:hint="default" w:ascii="Times New Roman" w:hAnsi="Times New Roman" w:eastAsia="宋体" w:cs="Times New Roman"/>
                <w:color w:val="auto"/>
                <w:kern w:val="0"/>
                <w:sz w:val="24"/>
                <w:szCs w:val="24"/>
                <w:highlight w:val="none"/>
              </w:rPr>
            </w:pPr>
          </w:p>
          <w:p w14:paraId="477756DE">
            <w:pPr>
              <w:keepNext w:val="0"/>
              <w:keepLines w:val="0"/>
              <w:pageBreakBefore w:val="0"/>
              <w:widowControl w:val="0"/>
              <w:wordWrap/>
              <w:topLinePunct w:val="0"/>
              <w:autoSpaceDE w:val="0"/>
              <w:autoSpaceDN w:val="0"/>
              <w:bidi w:val="0"/>
              <w:adjustRightInd w:val="0"/>
              <w:snapToGrid w:val="0"/>
              <w:jc w:val="center"/>
              <w:rPr>
                <w:rFonts w:hint="default" w:ascii="Times New Roman" w:hAnsi="Times New Roman" w:eastAsia="宋体" w:cs="Times New Roman"/>
                <w:color w:val="auto"/>
                <w:kern w:val="0"/>
                <w:sz w:val="24"/>
                <w:szCs w:val="24"/>
                <w:highlight w:val="none"/>
              </w:rPr>
            </w:pPr>
          </w:p>
          <w:p w14:paraId="58B95913">
            <w:pPr>
              <w:keepNext w:val="0"/>
              <w:keepLines w:val="0"/>
              <w:pageBreakBefore w:val="0"/>
              <w:widowControl w:val="0"/>
              <w:wordWrap/>
              <w:topLinePunct w:val="0"/>
              <w:autoSpaceDE w:val="0"/>
              <w:autoSpaceDN w:val="0"/>
              <w:bidi w:val="0"/>
              <w:adjustRightInd w:val="0"/>
              <w:snapToGrid w:val="0"/>
              <w:jc w:val="center"/>
              <w:rPr>
                <w:rFonts w:hint="default" w:ascii="Times New Roman" w:hAnsi="Times New Roman" w:eastAsia="宋体" w:cs="Times New Roman"/>
                <w:color w:val="auto"/>
                <w:kern w:val="0"/>
                <w:sz w:val="24"/>
                <w:szCs w:val="24"/>
                <w:highlight w:val="none"/>
              </w:rPr>
            </w:pPr>
          </w:p>
          <w:p w14:paraId="462C5C48">
            <w:pPr>
              <w:keepNext w:val="0"/>
              <w:keepLines w:val="0"/>
              <w:pageBreakBefore w:val="0"/>
              <w:widowControl w:val="0"/>
              <w:wordWrap/>
              <w:topLinePunct w:val="0"/>
              <w:autoSpaceDE w:val="0"/>
              <w:autoSpaceDN w:val="0"/>
              <w:bidi w:val="0"/>
              <w:adjustRightInd w:val="0"/>
              <w:snapToGrid w:val="0"/>
              <w:jc w:val="center"/>
              <w:rPr>
                <w:rFonts w:hint="default" w:ascii="Times New Roman" w:hAnsi="Times New Roman" w:eastAsia="宋体" w:cs="Times New Roman"/>
                <w:color w:val="auto"/>
                <w:kern w:val="0"/>
                <w:sz w:val="24"/>
                <w:szCs w:val="24"/>
                <w:highlight w:val="none"/>
              </w:rPr>
            </w:pPr>
          </w:p>
          <w:p w14:paraId="5228A168">
            <w:pPr>
              <w:keepNext w:val="0"/>
              <w:keepLines w:val="0"/>
              <w:pageBreakBefore w:val="0"/>
              <w:widowControl w:val="0"/>
              <w:wordWrap/>
              <w:topLinePunct w:val="0"/>
              <w:autoSpaceDE w:val="0"/>
              <w:autoSpaceDN w:val="0"/>
              <w:bidi w:val="0"/>
              <w:adjustRightInd w:val="0"/>
              <w:snapToGrid w:val="0"/>
              <w:jc w:val="center"/>
              <w:rPr>
                <w:rFonts w:hint="default" w:ascii="Times New Roman" w:hAnsi="Times New Roman" w:eastAsia="宋体" w:cs="Times New Roman"/>
                <w:color w:val="auto"/>
                <w:kern w:val="0"/>
                <w:sz w:val="24"/>
                <w:szCs w:val="24"/>
                <w:highlight w:val="none"/>
              </w:rPr>
            </w:pPr>
          </w:p>
          <w:p w14:paraId="3D6F598B">
            <w:pPr>
              <w:keepNext w:val="0"/>
              <w:keepLines w:val="0"/>
              <w:pageBreakBefore w:val="0"/>
              <w:widowControl w:val="0"/>
              <w:wordWrap/>
              <w:topLinePunct w:val="0"/>
              <w:autoSpaceDE w:val="0"/>
              <w:autoSpaceDN w:val="0"/>
              <w:bidi w:val="0"/>
              <w:adjustRightInd w:val="0"/>
              <w:snapToGrid w:val="0"/>
              <w:jc w:val="center"/>
              <w:rPr>
                <w:rFonts w:hint="default" w:ascii="Times New Roman" w:hAnsi="Times New Roman" w:eastAsia="宋体" w:cs="Times New Roman"/>
                <w:color w:val="auto"/>
                <w:kern w:val="0"/>
                <w:sz w:val="24"/>
                <w:szCs w:val="24"/>
                <w:highlight w:val="none"/>
              </w:rPr>
            </w:pPr>
          </w:p>
          <w:p w14:paraId="5AFB8770">
            <w:pPr>
              <w:keepNext w:val="0"/>
              <w:keepLines w:val="0"/>
              <w:pageBreakBefore w:val="0"/>
              <w:widowControl w:val="0"/>
              <w:wordWrap/>
              <w:topLinePunct w:val="0"/>
              <w:autoSpaceDE w:val="0"/>
              <w:autoSpaceDN w:val="0"/>
              <w:bidi w:val="0"/>
              <w:adjustRightInd w:val="0"/>
              <w:snapToGrid w:val="0"/>
              <w:jc w:val="center"/>
              <w:rPr>
                <w:rFonts w:hint="default" w:ascii="Times New Roman" w:hAnsi="Times New Roman" w:eastAsia="宋体" w:cs="Times New Roman"/>
                <w:color w:val="auto"/>
                <w:kern w:val="0"/>
                <w:sz w:val="24"/>
                <w:szCs w:val="24"/>
                <w:highlight w:val="none"/>
              </w:rPr>
            </w:pPr>
          </w:p>
          <w:p w14:paraId="1B985717">
            <w:pPr>
              <w:keepNext w:val="0"/>
              <w:keepLines w:val="0"/>
              <w:pageBreakBefore w:val="0"/>
              <w:widowControl w:val="0"/>
              <w:wordWrap/>
              <w:topLinePunct w:val="0"/>
              <w:autoSpaceDE w:val="0"/>
              <w:autoSpaceDN w:val="0"/>
              <w:bidi w:val="0"/>
              <w:adjustRightInd w:val="0"/>
              <w:snapToGrid w:val="0"/>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4"/>
                <w:szCs w:val="24"/>
                <w:highlight w:val="none"/>
              </w:rPr>
              <w:t>规划及规划环境影响评价符合性分析</w:t>
            </w:r>
          </w:p>
        </w:tc>
        <w:tc>
          <w:tcPr>
            <w:tcW w:w="3857" w:type="pct"/>
            <w:gridSpan w:val="3"/>
            <w:noWrap w:val="0"/>
            <w:tcMar>
              <w:top w:w="16" w:type="dxa"/>
              <w:left w:w="16" w:type="dxa"/>
              <w:right w:w="16" w:type="dxa"/>
            </w:tcMar>
            <w:vAlign w:val="center"/>
          </w:tcPr>
          <w:p w14:paraId="43042730">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1.1与《甘泉堡工业园总体规划（2016-2030年）》的符合性分析</w:t>
            </w:r>
          </w:p>
          <w:p w14:paraId="41D4D432">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修编后的</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甘泉堡工业园总体规划（2016-20230年）</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规划范围不变，建设用地总面积193km</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，产业定位为：</w:t>
            </w:r>
            <w:r>
              <w:rPr>
                <w:rFonts w:hint="default" w:ascii="Times New Roman" w:hAnsi="Times New Roman" w:eastAsia="宋体" w:cs="Times New Roman"/>
                <w:color w:val="auto"/>
                <w:sz w:val="24"/>
                <w:szCs w:val="24"/>
                <w:highlight w:val="none"/>
                <w:lang w:val="en-US" w:eastAsia="zh-CN"/>
              </w:rPr>
              <w:t>以实施优势资源转化战略为基础，以高新技术创新研发为先导的新兴战略产业基地，以新能源和优势资源深度开发利用为主，具有循环经济特色，面向中亚和东欧市场的出口加工基地，形成重点发展产业、补充发展产业和配套发展产业“7+3+2”的产业体系。即：7种重点发展产业，确保现有煤电煤化工产业以及精细化工业的有序建设，重点发展新能源与新材料工业、先进装备制造业、机电工业(主要是电气设备和通讯设备)</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积极开拓生物医药、电子信息产业。3种补充发展产业，即：新型建材业、有色金属加工业，鼓励发展众筹等小微企业。2种配套发展产业，即：生产性服务业和消费性服务业。其中，生产性服务业是指以铁路、高速公路为主动脉的物流运输产业，金融服务、信息技术、咨询、教育、产业研发、会展业等；生活性服务业是指商业、文化、休闲、居住等。规划区划分为十个功能区，即：优势资源转化区、经济合作与产业孵化区、新能源工业区、高新技术产业区、科教综合服务新区、物流仓储区、小微企业创新区、商贸物流区、生态保育区和协调发展区。</w:t>
            </w:r>
          </w:p>
          <w:p w14:paraId="7F6C014D">
            <w:pPr>
              <w:autoSpaceDE w:val="0"/>
              <w:autoSpaceDN w:val="0"/>
              <w:adjustRightInd w:val="0"/>
              <w:snapToGrid w:val="0"/>
              <w:spacing w:line="360" w:lineRule="auto"/>
              <w:ind w:firstLine="480" w:firstLineChars="200"/>
              <w:jc w:val="both"/>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本项目位于甘泉堡工业园优势资源转化区，优势资源转化区</w:t>
            </w:r>
            <w:r>
              <w:rPr>
                <w:rFonts w:hint="default" w:ascii="Times New Roman" w:hAnsi="Times New Roman" w:eastAsia="宋体" w:cs="Times New Roman"/>
                <w:color w:val="auto"/>
                <w:sz w:val="24"/>
                <w:szCs w:val="24"/>
                <w:highlight w:val="none"/>
                <w:lang w:val="en-US" w:eastAsia="zh-CN"/>
              </w:rPr>
              <w:t>规划范围：五家渠市-102-团的东北部，面积约52</w:t>
            </w:r>
            <w:r>
              <w:rPr>
                <w:rFonts w:hint="eastAsia" w:ascii="Times New Roman" w:hAnsi="Times New Roman" w:eastAsia="宋体" w:cs="Times New Roman"/>
                <w:color w:val="auto"/>
                <w:sz w:val="24"/>
                <w:szCs w:val="24"/>
                <w:highlight w:val="none"/>
                <w:lang w:val="en-US" w:eastAsia="zh-CN"/>
              </w:rPr>
              <w:t>km</w:t>
            </w:r>
            <w:r>
              <w:rPr>
                <w:rFonts w:hint="eastAsia"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产业重点发展能源工业、煤炭化工工业、精细化工工业。鼓励发展的产业：煤炭气化、液化技术开发及应用；工业及生活用环保型煤开发及生产、煤炭高效洗选脱硫技术开发及应用；煤电、煤焦化(焦炉煤气、煤焦油深加工)一体化建设；提高资源回收率的采煤方法、工艺开发应用及装备制造；有色金属及合金的加工和开发利用。</w:t>
            </w:r>
            <w:r>
              <w:rPr>
                <w:rFonts w:hint="eastAsia" w:ascii="Times New Roman" w:hAnsi="Times New Roman" w:eastAsia="宋体" w:cs="Times New Roman"/>
                <w:color w:val="auto"/>
                <w:sz w:val="24"/>
                <w:szCs w:val="24"/>
                <w:highlight w:val="none"/>
                <w:lang w:val="en-US" w:eastAsia="zh-CN"/>
              </w:rPr>
              <w:t>本项目为升压站及储能建设</w:t>
            </w:r>
            <w:r>
              <w:rPr>
                <w:rFonts w:hint="eastAsia" w:eastAsia="宋体" w:cs="Times New Roman"/>
                <w:b w:val="0"/>
                <w:bCs w:val="0"/>
                <w:color w:val="auto"/>
                <w:kern w:val="2"/>
                <w:sz w:val="24"/>
                <w:szCs w:val="24"/>
                <w:highlight w:val="none"/>
                <w:lang w:val="en-US" w:eastAsia="zh-CN" w:bidi="ar-SA"/>
              </w:rPr>
              <w:t>项目，符合</w:t>
            </w:r>
            <w:r>
              <w:rPr>
                <w:rFonts w:hint="eastAsia" w:ascii="Times New Roman" w:hAnsi="Times New Roman" w:eastAsia="宋体" w:cs="Times New Roman"/>
                <w:color w:val="auto"/>
                <w:sz w:val="24"/>
                <w:szCs w:val="24"/>
                <w:highlight w:val="none"/>
                <w:lang w:val="en-US" w:eastAsia="zh-CN"/>
              </w:rPr>
              <w:t>优势资源转化区产业发展方向，</w:t>
            </w:r>
            <w:r>
              <w:rPr>
                <w:rFonts w:hint="default" w:ascii="Times New Roman" w:hAnsi="Times New Roman" w:eastAsia="宋体" w:cs="Times New Roman"/>
                <w:color w:val="auto"/>
                <w:sz w:val="24"/>
                <w:szCs w:val="24"/>
                <w:highlight w:val="none"/>
                <w:lang w:val="en-US" w:eastAsia="zh-CN"/>
              </w:rPr>
              <w:t>具体见图</w:t>
            </w:r>
            <w:r>
              <w:rPr>
                <w:rFonts w:hint="eastAsia" w:ascii="Times New Roman" w:hAnsi="Times New Roman" w:eastAsia="宋体"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lang w:val="en-US" w:eastAsia="zh-CN"/>
              </w:rPr>
              <w:t>园区</w:t>
            </w:r>
            <w:r>
              <w:rPr>
                <w:rFonts w:hint="eastAsia" w:ascii="Times New Roman" w:hAnsi="Times New Roman" w:eastAsia="宋体" w:cs="Times New Roman"/>
                <w:color w:val="auto"/>
                <w:sz w:val="24"/>
                <w:szCs w:val="24"/>
                <w:highlight w:val="none"/>
                <w:lang w:val="en-US" w:eastAsia="zh-CN"/>
              </w:rPr>
              <w:t>功能分区</w:t>
            </w:r>
            <w:r>
              <w:rPr>
                <w:rFonts w:hint="default" w:ascii="Times New Roman" w:hAnsi="Times New Roman" w:eastAsia="宋体" w:cs="Times New Roman"/>
                <w:color w:val="auto"/>
                <w:sz w:val="24"/>
                <w:szCs w:val="24"/>
                <w:highlight w:val="none"/>
                <w:lang w:val="en-US" w:eastAsia="zh-CN"/>
              </w:rPr>
              <w:t>规划图、图</w:t>
            </w:r>
            <w:r>
              <w:rPr>
                <w:rFonts w:hint="eastAsia" w:ascii="Times New Roman" w:hAnsi="Times New Roman" w:eastAsia="宋体"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lang w:val="en-US" w:eastAsia="zh-CN"/>
              </w:rPr>
              <w:t>园区</w:t>
            </w:r>
            <w:r>
              <w:rPr>
                <w:rFonts w:hint="eastAsia" w:ascii="Times New Roman" w:hAnsi="Times New Roman" w:eastAsia="宋体" w:cs="Times New Roman"/>
                <w:color w:val="auto"/>
                <w:sz w:val="24"/>
                <w:szCs w:val="24"/>
                <w:highlight w:val="none"/>
                <w:lang w:val="en-US" w:eastAsia="zh-CN"/>
              </w:rPr>
              <w:t>土地利用规划</w:t>
            </w:r>
            <w:r>
              <w:rPr>
                <w:rFonts w:hint="default" w:ascii="Times New Roman" w:hAnsi="Times New Roman" w:eastAsia="宋体" w:cs="Times New Roman"/>
                <w:color w:val="auto"/>
                <w:sz w:val="24"/>
                <w:szCs w:val="24"/>
                <w:highlight w:val="none"/>
                <w:lang w:val="en-US" w:eastAsia="zh-CN"/>
              </w:rPr>
              <w:t>图。</w:t>
            </w:r>
          </w:p>
          <w:p w14:paraId="79220861">
            <w:pPr>
              <w:autoSpaceDE w:val="0"/>
              <w:autoSpaceDN w:val="0"/>
              <w:adjustRightInd w:val="0"/>
              <w:snapToGrid w:val="0"/>
              <w:spacing w:line="360" w:lineRule="auto"/>
              <w:jc w:val="left"/>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en-US" w:eastAsia="zh-CN"/>
              </w:rPr>
              <w:t>与《</w:t>
            </w:r>
            <w:r>
              <w:rPr>
                <w:rFonts w:hint="eastAsia" w:ascii="Times New Roman" w:hAnsi="Times New Roman" w:eastAsia="宋体" w:cs="Times New Roman"/>
                <w:b/>
                <w:bCs/>
                <w:color w:val="auto"/>
                <w:sz w:val="24"/>
                <w:szCs w:val="24"/>
                <w:highlight w:val="none"/>
                <w:lang w:val="en-US" w:eastAsia="zh-CN"/>
              </w:rPr>
              <w:t>甘泉堡工业园总体规划（2016-2030年）</w:t>
            </w:r>
            <w:r>
              <w:rPr>
                <w:rFonts w:hint="default" w:ascii="Times New Roman" w:hAnsi="Times New Roman" w:eastAsia="宋体" w:cs="Times New Roman"/>
                <w:b/>
                <w:bCs/>
                <w:color w:val="auto"/>
                <w:sz w:val="24"/>
                <w:szCs w:val="24"/>
                <w:highlight w:val="none"/>
                <w:lang w:val="en-US" w:eastAsia="zh-CN"/>
              </w:rPr>
              <w:t>环境影响报告书》</w:t>
            </w:r>
            <w:r>
              <w:rPr>
                <w:rFonts w:hint="eastAsia" w:ascii="Times New Roman" w:hAnsi="Times New Roman" w:eastAsia="宋体" w:cs="Times New Roman"/>
                <w:b/>
                <w:bCs/>
                <w:color w:val="auto"/>
                <w:sz w:val="24"/>
                <w:szCs w:val="24"/>
                <w:highlight w:val="none"/>
                <w:lang w:val="en-US" w:eastAsia="zh-CN"/>
              </w:rPr>
              <w:t>评价结论及审查意见</w:t>
            </w:r>
            <w:r>
              <w:rPr>
                <w:rFonts w:hint="default" w:ascii="Times New Roman" w:hAnsi="Times New Roman" w:eastAsia="宋体" w:cs="Times New Roman"/>
                <w:b/>
                <w:bCs/>
                <w:color w:val="auto"/>
                <w:sz w:val="24"/>
                <w:szCs w:val="24"/>
                <w:highlight w:val="none"/>
                <w:lang w:val="en-US" w:eastAsia="zh-CN"/>
              </w:rPr>
              <w:t>符合性分析</w:t>
            </w:r>
          </w:p>
          <w:p w14:paraId="16543C6E">
            <w:pPr>
              <w:autoSpaceDE w:val="0"/>
              <w:autoSpaceDN w:val="0"/>
              <w:adjustRightInd w:val="0"/>
              <w:snapToGrid w:val="0"/>
              <w:spacing w:line="360" w:lineRule="auto"/>
              <w:ind w:firstLine="456" w:firstLineChars="200"/>
              <w:jc w:val="both"/>
              <w:rPr>
                <w:rFonts w:hint="default" w:ascii="Times New Roman" w:hAnsi="Times New Roman" w:eastAsia="宋体" w:cs="Times New Roman"/>
                <w:color w:val="auto"/>
                <w:spacing w:val="-6"/>
                <w:sz w:val="24"/>
                <w:szCs w:val="24"/>
                <w:highlight w:val="none"/>
                <w:lang w:val="en-US" w:eastAsia="zh-CN"/>
              </w:rPr>
            </w:pPr>
            <w:r>
              <w:rPr>
                <w:rFonts w:hint="eastAsia" w:ascii="Times New Roman" w:hAnsi="Times New Roman" w:eastAsia="宋体" w:cs="Times New Roman"/>
                <w:color w:val="auto"/>
                <w:spacing w:val="-6"/>
                <w:sz w:val="24"/>
                <w:szCs w:val="24"/>
                <w:highlight w:val="none"/>
                <w:lang w:val="en-US" w:eastAsia="zh-CN"/>
              </w:rPr>
              <w:t>根据</w:t>
            </w:r>
            <w:r>
              <w:rPr>
                <w:rFonts w:hint="default" w:ascii="Times New Roman" w:hAnsi="Times New Roman" w:eastAsia="宋体" w:cs="Times New Roman"/>
                <w:color w:val="auto"/>
                <w:spacing w:val="-6"/>
                <w:sz w:val="24"/>
                <w:szCs w:val="24"/>
                <w:highlight w:val="none"/>
                <w:lang w:val="en-US" w:eastAsia="zh-CN"/>
              </w:rPr>
              <w:t>《</w:t>
            </w:r>
            <w:r>
              <w:rPr>
                <w:rFonts w:hint="eastAsia" w:ascii="Times New Roman" w:hAnsi="Times New Roman" w:eastAsia="宋体" w:cs="Times New Roman"/>
                <w:color w:val="auto"/>
                <w:spacing w:val="-6"/>
                <w:sz w:val="24"/>
                <w:szCs w:val="24"/>
                <w:highlight w:val="none"/>
                <w:lang w:val="en-US" w:eastAsia="zh-CN"/>
              </w:rPr>
              <w:t>甘泉堡工业园总体规划（2016-2030年）</w:t>
            </w:r>
            <w:r>
              <w:rPr>
                <w:rFonts w:hint="default" w:ascii="Times New Roman" w:hAnsi="Times New Roman" w:eastAsia="宋体" w:cs="Times New Roman"/>
                <w:color w:val="auto"/>
                <w:spacing w:val="-6"/>
                <w:sz w:val="24"/>
                <w:szCs w:val="24"/>
                <w:highlight w:val="none"/>
                <w:lang w:val="en-US" w:eastAsia="zh-CN"/>
              </w:rPr>
              <w:t>环境影响报告书》</w:t>
            </w:r>
            <w:r>
              <w:rPr>
                <w:rFonts w:hint="eastAsia" w:ascii="Times New Roman" w:hAnsi="Times New Roman" w:eastAsia="宋体" w:cs="Times New Roman"/>
                <w:color w:val="auto"/>
                <w:spacing w:val="-6"/>
                <w:sz w:val="24"/>
                <w:szCs w:val="24"/>
                <w:highlight w:val="none"/>
                <w:lang w:val="en-US" w:eastAsia="zh-CN"/>
              </w:rPr>
              <w:t>以及</w:t>
            </w:r>
            <w:r>
              <w:rPr>
                <w:rFonts w:hint="default" w:ascii="Times New Roman" w:hAnsi="Times New Roman" w:eastAsia="宋体" w:cs="Times New Roman"/>
                <w:color w:val="auto"/>
                <w:spacing w:val="-6"/>
                <w:sz w:val="24"/>
                <w:szCs w:val="24"/>
                <w:highlight w:val="none"/>
                <w:lang w:val="en-US" w:eastAsia="zh-CN"/>
              </w:rPr>
              <w:t>《</w:t>
            </w:r>
            <w:r>
              <w:rPr>
                <w:rFonts w:hint="eastAsia" w:ascii="Times New Roman" w:hAnsi="Times New Roman" w:eastAsia="宋体" w:cs="Times New Roman"/>
                <w:color w:val="auto"/>
                <w:spacing w:val="-6"/>
                <w:sz w:val="24"/>
                <w:szCs w:val="24"/>
                <w:highlight w:val="none"/>
                <w:lang w:val="en-US" w:eastAsia="zh-CN"/>
              </w:rPr>
              <w:t>关于甘泉堡工业园总体规划（2016-2030年）</w:t>
            </w:r>
            <w:r>
              <w:rPr>
                <w:rFonts w:hint="default" w:ascii="Times New Roman" w:hAnsi="Times New Roman" w:eastAsia="宋体" w:cs="Times New Roman"/>
                <w:color w:val="auto"/>
                <w:spacing w:val="-6"/>
                <w:sz w:val="24"/>
                <w:szCs w:val="24"/>
                <w:highlight w:val="none"/>
                <w:lang w:val="en-US" w:eastAsia="zh-CN"/>
              </w:rPr>
              <w:t>环境影响报告书</w:t>
            </w:r>
            <w:r>
              <w:rPr>
                <w:rFonts w:hint="eastAsia" w:ascii="Times New Roman" w:hAnsi="Times New Roman" w:eastAsia="宋体" w:cs="Times New Roman"/>
                <w:color w:val="auto"/>
                <w:spacing w:val="-6"/>
                <w:sz w:val="24"/>
                <w:szCs w:val="24"/>
                <w:highlight w:val="none"/>
                <w:lang w:val="en-US" w:eastAsia="zh-CN"/>
              </w:rPr>
              <w:t>的审查意见</w:t>
            </w:r>
            <w:r>
              <w:rPr>
                <w:rFonts w:hint="default" w:ascii="Times New Roman" w:hAnsi="Times New Roman" w:eastAsia="宋体" w:cs="Times New Roman"/>
                <w:color w:val="auto"/>
                <w:spacing w:val="-6"/>
                <w:sz w:val="24"/>
                <w:szCs w:val="24"/>
                <w:highlight w:val="none"/>
                <w:lang w:val="en-US" w:eastAsia="zh-CN"/>
              </w:rPr>
              <w:t>》，</w:t>
            </w:r>
            <w:r>
              <w:rPr>
                <w:rFonts w:hint="eastAsia" w:ascii="Times New Roman" w:hAnsi="Times New Roman" w:eastAsia="宋体" w:cs="Times New Roman"/>
                <w:color w:val="auto"/>
                <w:spacing w:val="-6"/>
                <w:sz w:val="24"/>
                <w:szCs w:val="24"/>
                <w:highlight w:val="none"/>
                <w:lang w:val="en-US" w:eastAsia="zh-CN"/>
              </w:rPr>
              <w:t>对《园区总规》优化调整和实施过程中的意见</w:t>
            </w:r>
            <w:r>
              <w:rPr>
                <w:rFonts w:hint="default" w:ascii="Times New Roman" w:hAnsi="Times New Roman" w:eastAsia="宋体" w:cs="Times New Roman"/>
                <w:color w:val="auto"/>
                <w:spacing w:val="-6"/>
                <w:sz w:val="24"/>
                <w:szCs w:val="24"/>
                <w:highlight w:val="none"/>
                <w:lang w:val="en-US" w:eastAsia="zh-CN"/>
              </w:rPr>
              <w:t>：</w:t>
            </w:r>
            <w:r>
              <w:rPr>
                <w:rFonts w:hint="eastAsia" w:ascii="Times New Roman" w:hAnsi="Times New Roman" w:eastAsia="宋体" w:cs="Times New Roman"/>
                <w:color w:val="auto"/>
                <w:spacing w:val="-6"/>
                <w:sz w:val="24"/>
                <w:szCs w:val="24"/>
                <w:highlight w:val="none"/>
                <w:lang w:val="en-US" w:eastAsia="zh-CN"/>
              </w:rPr>
              <w:t>（四）</w:t>
            </w:r>
            <w:r>
              <w:rPr>
                <w:rFonts w:hint="default" w:ascii="Times New Roman" w:hAnsi="Times New Roman" w:eastAsia="宋体" w:cs="Times New Roman"/>
                <w:color w:val="auto"/>
                <w:spacing w:val="-6"/>
                <w:sz w:val="24"/>
                <w:szCs w:val="24"/>
                <w:highlight w:val="none"/>
                <w:lang w:val="en-US" w:eastAsia="zh-CN"/>
              </w:rPr>
              <w:t>结合区域资源消耗上线，列出环境准入负面清单，严格入区产业和项目的环境准入。实施煤炭消费总量控制。结合区域发展定位、开发布局、生态环境保护目标，以及供给侧改革“去产能、去库存、去杠杆、降成本、补短板”任务等相关要求，制定规划园区鼓励发展的产业准入清单和禁止或限制准入清单(包括重要的生产工序和产品)</w:t>
            </w:r>
            <w:r>
              <w:rPr>
                <w:rFonts w:hint="eastAsia" w:ascii="Times New Roman" w:hAnsi="Times New Roman" w:eastAsia="宋体" w:cs="Times New Roman"/>
                <w:color w:val="auto"/>
                <w:spacing w:val="-6"/>
                <w:sz w:val="24"/>
                <w:szCs w:val="24"/>
                <w:highlight w:val="none"/>
                <w:lang w:val="en-US" w:eastAsia="zh-CN"/>
              </w:rPr>
              <w:t>，</w:t>
            </w:r>
            <w:r>
              <w:rPr>
                <w:rFonts w:hint="default" w:ascii="Times New Roman" w:hAnsi="Times New Roman" w:eastAsia="宋体" w:cs="Times New Roman"/>
                <w:color w:val="auto"/>
                <w:spacing w:val="-6"/>
                <w:sz w:val="24"/>
                <w:szCs w:val="24"/>
                <w:highlight w:val="none"/>
                <w:lang w:val="en-US" w:eastAsia="zh-CN"/>
              </w:rPr>
              <w:t>并在园区规划实施中推进落实。坚持实行入园企业环保准入审核制度，不符合产业政策、行业准入条件、自治区环境准入条件的项目以及与园区产业功能定位不符的“三高”项目一律不得入驻园区。对于入园的建设项目必须开展环境</w:t>
            </w:r>
            <w:r>
              <w:rPr>
                <w:rFonts w:hint="eastAsia" w:ascii="Times New Roman" w:hAnsi="Times New Roman" w:eastAsia="宋体" w:cs="Times New Roman"/>
                <w:color w:val="auto"/>
                <w:spacing w:val="-6"/>
                <w:sz w:val="24"/>
                <w:szCs w:val="24"/>
                <w:highlight w:val="none"/>
                <w:lang w:val="en-US" w:eastAsia="zh-CN"/>
              </w:rPr>
              <w:t>影响评价，严格执行建设项目“三同时”环境管理制度。严格控制用水总量、提高用水效率、合理控制排污、严守水资源“三条红线”，依据水资源论证报告结论，优化调整园区的产业结构和规模。</w:t>
            </w:r>
          </w:p>
          <w:p w14:paraId="78B009AB">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本项目为升压站及储能建设</w:t>
            </w:r>
            <w:r>
              <w:rPr>
                <w:rFonts w:hint="eastAsia" w:eastAsia="宋体" w:cs="Times New Roman"/>
                <w:b w:val="0"/>
                <w:bCs w:val="0"/>
                <w:color w:val="auto"/>
                <w:kern w:val="2"/>
                <w:sz w:val="24"/>
                <w:szCs w:val="24"/>
                <w:highlight w:val="none"/>
                <w:lang w:val="en-US" w:eastAsia="zh-CN" w:bidi="ar-SA"/>
              </w:rPr>
              <w:t>项目，</w:t>
            </w:r>
            <w:r>
              <w:rPr>
                <w:rFonts w:hint="default" w:ascii="Times New Roman" w:hAnsi="Times New Roman" w:eastAsia="宋体" w:cs="Times New Roman"/>
                <w:color w:val="auto"/>
                <w:sz w:val="24"/>
                <w:szCs w:val="24"/>
                <w:highlight w:val="none"/>
                <w:lang w:val="en-US" w:eastAsia="zh-CN"/>
              </w:rPr>
              <w:t>项目符合产业政策及准入条件，符合</w:t>
            </w:r>
            <w:r>
              <w:rPr>
                <w:rFonts w:hint="eastAsia" w:ascii="Times New Roman" w:hAnsi="Times New Roman" w:eastAsia="宋体" w:cs="Times New Roman"/>
                <w:color w:val="auto"/>
                <w:sz w:val="24"/>
                <w:szCs w:val="24"/>
                <w:highlight w:val="none"/>
                <w:lang w:val="en-US" w:eastAsia="zh-CN"/>
              </w:rPr>
              <w:t>园区</w:t>
            </w:r>
            <w:r>
              <w:rPr>
                <w:rFonts w:hint="default" w:ascii="Times New Roman" w:hAnsi="Times New Roman" w:eastAsia="宋体" w:cs="Times New Roman"/>
                <w:color w:val="auto"/>
                <w:sz w:val="24"/>
                <w:szCs w:val="24"/>
                <w:highlight w:val="none"/>
                <w:lang w:val="en-US" w:eastAsia="zh-CN"/>
              </w:rPr>
              <w:t>产业定位；项目严格执行环境影响评价制度及“三同时”制度</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符合《</w:t>
            </w:r>
            <w:r>
              <w:rPr>
                <w:rFonts w:hint="eastAsia" w:ascii="Times New Roman" w:hAnsi="Times New Roman" w:eastAsia="宋体" w:cs="Times New Roman"/>
                <w:color w:val="auto"/>
                <w:spacing w:val="-6"/>
                <w:sz w:val="24"/>
                <w:szCs w:val="24"/>
                <w:highlight w:val="none"/>
                <w:lang w:val="en-US" w:eastAsia="zh-CN"/>
              </w:rPr>
              <w:t>甘泉堡工业园总体规划（2016-2030年）</w:t>
            </w:r>
            <w:r>
              <w:rPr>
                <w:rFonts w:hint="default" w:ascii="Times New Roman" w:hAnsi="Times New Roman" w:eastAsia="宋体" w:cs="Times New Roman"/>
                <w:color w:val="auto"/>
                <w:spacing w:val="-6"/>
                <w:sz w:val="24"/>
                <w:szCs w:val="24"/>
                <w:highlight w:val="none"/>
                <w:lang w:val="en-US" w:eastAsia="zh-CN"/>
              </w:rPr>
              <w:t>环境影响报告书</w:t>
            </w:r>
            <w:r>
              <w:rPr>
                <w:rFonts w:hint="default" w:ascii="Times New Roman" w:hAnsi="Times New Roman" w:eastAsia="宋体" w:cs="Times New Roman"/>
                <w:color w:val="auto"/>
                <w:sz w:val="24"/>
                <w:szCs w:val="24"/>
                <w:highlight w:val="none"/>
                <w:lang w:val="en-US" w:eastAsia="zh-CN"/>
              </w:rPr>
              <w:t>》及审查意见</w:t>
            </w:r>
            <w:r>
              <w:rPr>
                <w:rFonts w:hint="eastAsia" w:ascii="Times New Roman" w:hAnsi="Times New Roman" w:eastAsia="宋体" w:cs="Times New Roman"/>
                <w:color w:val="auto"/>
                <w:sz w:val="24"/>
                <w:szCs w:val="24"/>
                <w:highlight w:val="none"/>
                <w:lang w:val="en-US" w:eastAsia="zh-CN"/>
              </w:rPr>
              <w:t>中相关要求</w:t>
            </w:r>
            <w:r>
              <w:rPr>
                <w:rFonts w:hint="default" w:ascii="Times New Roman" w:hAnsi="Times New Roman" w:eastAsia="宋体" w:cs="Times New Roman"/>
                <w:color w:val="auto"/>
                <w:sz w:val="24"/>
                <w:szCs w:val="24"/>
                <w:highlight w:val="none"/>
                <w:lang w:val="en-US" w:eastAsia="zh-CN"/>
              </w:rPr>
              <w:t>。</w:t>
            </w:r>
          </w:p>
          <w:p w14:paraId="3538A65A">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1.</w:t>
            </w:r>
            <w:r>
              <w:rPr>
                <w:rFonts w:hint="eastAsia" w:eastAsia="宋体" w:cs="Times New Roman"/>
                <w:b/>
                <w:bCs/>
                <w:color w:val="auto"/>
                <w:kern w:val="2"/>
                <w:sz w:val="24"/>
                <w:szCs w:val="24"/>
                <w:highlight w:val="none"/>
                <w:lang w:val="en-US" w:eastAsia="zh-CN" w:bidi="ar-SA"/>
              </w:rPr>
              <w:t>3</w:t>
            </w:r>
            <w:r>
              <w:rPr>
                <w:rFonts w:hint="default" w:ascii="Times New Roman" w:hAnsi="Times New Roman" w:eastAsia="宋体" w:cs="Times New Roman"/>
                <w:b/>
                <w:bCs/>
                <w:color w:val="auto"/>
                <w:kern w:val="2"/>
                <w:sz w:val="24"/>
                <w:szCs w:val="24"/>
                <w:highlight w:val="none"/>
                <w:lang w:val="en-US" w:eastAsia="zh-CN" w:bidi="ar-SA"/>
              </w:rPr>
              <w:t>与《新疆维吾尔自治区“十四五”电力发展规划》符合性分析</w:t>
            </w:r>
          </w:p>
          <w:p w14:paraId="40EF4C16">
            <w:pPr>
              <w:pStyle w:val="25"/>
              <w:keepNext w:val="0"/>
              <w:keepLines w:val="0"/>
              <w:pageBreakBefore w:val="0"/>
              <w:widowControl w:val="0"/>
              <w:wordWrap/>
              <w:topLinePunct w:val="0"/>
              <w:bidi w:val="0"/>
              <w:spacing w:line="360" w:lineRule="auto"/>
              <w:ind w:firstLine="480" w:firstLineChars="200"/>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根据《新疆维吾尔自治区“十四五”电力发展规划》4.积极推动新型储能产业发展：“十四五”期间，推进新型储能多元化发展和多场景应用，实现新型储能从商业化初期向规模化应用转变。鼓励新型储能装备上下游产业相关企业、发电企业等一体化推进电源侧储能项目建设；支持电网企业与社会资本共同建设电网侧储能项目；探索推进用户侧储能多元化发展。加强新型储能电站安全管理，做好储能产业链各环节安全风险防范，完善项目管理程序，明确并网运行标准，强化消防安全管理，持续系统运行监测，有效提升安全运行水平。到2025年，新型储能设施规模超过500 万千瓦。</w:t>
            </w:r>
          </w:p>
          <w:p w14:paraId="3FBDCE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本项目为升压站及储能建设</w:t>
            </w:r>
            <w:r>
              <w:rPr>
                <w:rFonts w:hint="eastAsia" w:eastAsia="宋体" w:cs="Times New Roman"/>
                <w:b w:val="0"/>
                <w:bCs w:val="0"/>
                <w:color w:val="auto"/>
                <w:kern w:val="2"/>
                <w:sz w:val="24"/>
                <w:szCs w:val="24"/>
                <w:highlight w:val="none"/>
                <w:lang w:val="en-US" w:eastAsia="zh-CN" w:bidi="ar-SA"/>
              </w:rPr>
              <w:t>项目</w:t>
            </w:r>
            <w:r>
              <w:rPr>
                <w:rFonts w:hint="default" w:ascii="Times New Roman" w:hAnsi="Times New Roman" w:eastAsia="宋体" w:cs="Times New Roman"/>
                <w:b w:val="0"/>
                <w:bCs w:val="0"/>
                <w:color w:val="auto"/>
                <w:kern w:val="2"/>
                <w:sz w:val="24"/>
                <w:szCs w:val="24"/>
                <w:highlight w:val="none"/>
                <w:lang w:val="en-US" w:eastAsia="zh-CN" w:bidi="ar-SA"/>
              </w:rPr>
              <w:t>，项目建设符合《新疆维吾尔自治区“十四五”电力发展规划》相关要求。</w:t>
            </w:r>
          </w:p>
          <w:p w14:paraId="08D3DFD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1.2与《新疆生态环境保护“十四五”规划》符合性分析</w:t>
            </w:r>
          </w:p>
          <w:p w14:paraId="3DE2A81B">
            <w:pPr>
              <w:pStyle w:val="25"/>
              <w:keepNext w:val="0"/>
              <w:keepLines w:val="0"/>
              <w:pageBreakBefore w:val="0"/>
              <w:widowControl w:val="0"/>
              <w:wordWrap/>
              <w:topLinePunct w:val="0"/>
              <w:bidi w:val="0"/>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新疆生态环境保护“十四五”规划》：大力发展清洁能源。进一步壮大清洁能源产业，着力转变能源生产和消费模式，推动化石能源转型升级。加快非化石能源发展，推进风电和太阳能发电基地建设，积极开发分布式太阳能发电和分散式风电，支持可再生能源与工业、建筑、交通、农业、生态等产业和设施协同发展，配套发展储能产业，推进抽水蓄能电站建设，加快新型储能示范推广应用。积极发展可再生能源微电网、局域网，提高可再生能源的推广和消纳能力。</w:t>
            </w:r>
          </w:p>
          <w:p w14:paraId="6F6A1DF8">
            <w:pPr>
              <w:pStyle w:val="25"/>
              <w:keepNext w:val="0"/>
              <w:keepLines w:val="0"/>
              <w:pageBreakBefore w:val="0"/>
              <w:widowControl w:val="0"/>
              <w:wordWrap/>
              <w:topLinePunct w:val="0"/>
              <w:bidi w:val="0"/>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本项目为升压站及储能建设</w:t>
            </w:r>
            <w:r>
              <w:rPr>
                <w:rFonts w:hint="eastAsia" w:eastAsia="宋体" w:cs="Times New Roman"/>
                <w:b w:val="0"/>
                <w:bCs w:val="0"/>
                <w:color w:val="auto"/>
                <w:kern w:val="2"/>
                <w:sz w:val="24"/>
                <w:szCs w:val="24"/>
                <w:highlight w:val="none"/>
                <w:lang w:val="en-US" w:eastAsia="zh-CN" w:bidi="ar-SA"/>
              </w:rPr>
              <w:t>项目</w:t>
            </w:r>
            <w:r>
              <w:rPr>
                <w:rFonts w:hint="default" w:ascii="Times New Roman" w:hAnsi="Times New Roman" w:eastAsia="宋体" w:cs="Times New Roman"/>
                <w:color w:val="auto"/>
                <w:kern w:val="2"/>
                <w:sz w:val="24"/>
                <w:szCs w:val="24"/>
                <w:highlight w:val="none"/>
                <w:lang w:val="en-US" w:eastAsia="zh-CN" w:bidi="ar-SA"/>
              </w:rPr>
              <w:t>，项目建设符合《新疆生态环境保护“十四五”规划》中相关内容。</w:t>
            </w:r>
          </w:p>
          <w:p w14:paraId="1A9DDAB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w:t>
            </w:r>
            <w:r>
              <w:rPr>
                <w:rFonts w:hint="eastAsia" w:ascii="Times New Roman" w:hAnsi="Times New Roman" w:eastAsia="宋体" w:cs="Times New Roman"/>
                <w:b/>
                <w:bCs w:val="0"/>
                <w:color w:val="auto"/>
                <w:sz w:val="24"/>
                <w:szCs w:val="24"/>
                <w:highlight w:val="none"/>
                <w:lang w:val="en-US" w:eastAsia="zh-CN"/>
              </w:rPr>
              <w:t>4</w:t>
            </w:r>
            <w:r>
              <w:rPr>
                <w:rFonts w:hint="default" w:ascii="Times New Roman" w:hAnsi="Times New Roman" w:eastAsia="宋体" w:cs="Times New Roman"/>
                <w:b/>
                <w:bCs w:val="0"/>
                <w:color w:val="auto"/>
                <w:sz w:val="24"/>
                <w:szCs w:val="24"/>
                <w:highlight w:val="none"/>
                <w:lang w:val="en-US" w:eastAsia="zh-CN"/>
              </w:rPr>
              <w:t>与《</w:t>
            </w:r>
            <w:r>
              <w:rPr>
                <w:rFonts w:hint="eastAsia" w:ascii="Times New Roman" w:hAnsi="Times New Roman" w:eastAsia="宋体" w:cs="Times New Roman"/>
                <w:b/>
                <w:bCs w:val="0"/>
                <w:color w:val="auto"/>
                <w:sz w:val="24"/>
                <w:szCs w:val="24"/>
                <w:highlight w:val="none"/>
                <w:lang w:val="en-US" w:eastAsia="zh-CN"/>
              </w:rPr>
              <w:t>乌鲁木齐市生态环境保护“十四五”规划</w:t>
            </w:r>
            <w:r>
              <w:rPr>
                <w:rFonts w:hint="default" w:ascii="Times New Roman" w:hAnsi="Times New Roman" w:eastAsia="宋体" w:cs="Times New Roman"/>
                <w:b/>
                <w:bCs w:val="0"/>
                <w:color w:val="auto"/>
                <w:sz w:val="24"/>
                <w:szCs w:val="24"/>
                <w:highlight w:val="none"/>
                <w:lang w:val="en-US" w:eastAsia="zh-CN"/>
              </w:rPr>
              <w:t>》符合性分析</w:t>
            </w:r>
          </w:p>
          <w:p w14:paraId="2375F023">
            <w:pPr>
              <w:pStyle w:val="25"/>
              <w:keepNext w:val="0"/>
              <w:keepLines w:val="0"/>
              <w:pageBreakBefore w:val="0"/>
              <w:widowControl w:val="0"/>
              <w:wordWrap/>
              <w:topLinePunct w:val="0"/>
              <w:bidi w:val="0"/>
              <w:spacing w:line="360" w:lineRule="auto"/>
              <w:ind w:firstLine="480" w:firstLineChars="200"/>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en-US" w:eastAsia="zh-CN" w:bidi="ar-SA"/>
              </w:rPr>
              <w:t>根据《</w:t>
            </w:r>
            <w:r>
              <w:rPr>
                <w:rFonts w:hint="eastAsia" w:ascii="Times New Roman" w:hAnsi="Times New Roman" w:eastAsia="宋体" w:cs="Times New Roman"/>
                <w:color w:val="auto"/>
                <w:kern w:val="2"/>
                <w:sz w:val="24"/>
                <w:szCs w:val="24"/>
                <w:highlight w:val="none"/>
                <w:lang w:val="en-US" w:eastAsia="zh-CN" w:bidi="ar-SA"/>
              </w:rPr>
              <w:t>乌鲁木齐市生态环境保护</w:t>
            </w:r>
            <w:r>
              <w:rPr>
                <w:rFonts w:hint="default" w:ascii="Times New Roman" w:hAnsi="Times New Roman" w:eastAsia="宋体" w:cs="Times New Roman"/>
                <w:color w:val="auto"/>
                <w:kern w:val="2"/>
                <w:sz w:val="24"/>
                <w:szCs w:val="24"/>
                <w:highlight w:val="none"/>
                <w:lang w:val="en-US" w:eastAsia="zh-CN" w:bidi="ar-SA"/>
              </w:rPr>
              <w:t>“十四五”规划》</w:t>
            </w:r>
            <w:r>
              <w:rPr>
                <w:rFonts w:hint="eastAsia" w:ascii="Times New Roman" w:hAnsi="Times New Roman" w:eastAsia="宋体" w:cs="Times New Roman"/>
                <w:color w:val="auto"/>
                <w:kern w:val="2"/>
                <w:sz w:val="24"/>
                <w:szCs w:val="24"/>
                <w:highlight w:val="none"/>
                <w:lang w:val="en-US" w:eastAsia="zh-CN" w:bidi="ar-SA"/>
              </w:rPr>
              <w:t>（二）优化清洁能源结构。</w:t>
            </w:r>
            <w:r>
              <w:rPr>
                <w:rFonts w:hint="eastAsia" w:ascii="Times New Roman" w:hAnsi="Times New Roman" w:eastAsia="宋体" w:cs="Times New Roman"/>
                <w:color w:val="auto"/>
                <w:kern w:val="2"/>
                <w:sz w:val="24"/>
                <w:szCs w:val="24"/>
                <w:highlight w:val="none"/>
                <w:lang w:val="zh-CN" w:eastAsia="zh-CN" w:bidi="ar-SA"/>
              </w:rPr>
              <w:t>一是大力发展新能源和可再生能源。</w:t>
            </w:r>
            <w:r>
              <w:rPr>
                <w:rFonts w:hint="default" w:ascii="Times New Roman" w:hAnsi="Times New Roman" w:eastAsia="宋体" w:cs="Times New Roman"/>
                <w:color w:val="auto"/>
                <w:kern w:val="2"/>
                <w:sz w:val="24"/>
                <w:szCs w:val="24"/>
                <w:highlight w:val="none"/>
                <w:lang w:val="zh-CN" w:eastAsia="zh-CN" w:bidi="ar-SA"/>
              </w:rPr>
              <w:t>充分利用风能、光热条件、水量丰沛等自然资源优势</w:t>
            </w:r>
            <w:r>
              <w:rPr>
                <w:rFonts w:hint="eastAsia" w:ascii="Times New Roman" w:hAnsi="Times New Roman" w:eastAsia="宋体" w:cs="Times New Roman"/>
                <w:color w:val="auto"/>
                <w:kern w:val="2"/>
                <w:sz w:val="24"/>
                <w:szCs w:val="24"/>
                <w:highlight w:val="none"/>
                <w:lang w:val="zh-CN" w:eastAsia="zh-CN" w:bidi="ar-SA"/>
              </w:rPr>
              <w:t>，依托</w:t>
            </w:r>
            <w:r>
              <w:rPr>
                <w:rFonts w:hint="default" w:ascii="Times New Roman" w:hAnsi="Times New Roman" w:eastAsia="宋体" w:cs="Times New Roman"/>
                <w:color w:val="auto"/>
                <w:kern w:val="2"/>
                <w:sz w:val="24"/>
                <w:szCs w:val="24"/>
                <w:highlight w:val="none"/>
                <w:lang w:val="zh-CN" w:eastAsia="zh-CN" w:bidi="ar-SA"/>
              </w:rPr>
              <w:t>现有产业基础，分类建设风电、光伏发电项目，</w:t>
            </w:r>
            <w:r>
              <w:rPr>
                <w:rFonts w:hint="eastAsia" w:ascii="Times New Roman" w:hAnsi="Times New Roman" w:eastAsia="宋体" w:cs="Times New Roman"/>
                <w:color w:val="auto"/>
                <w:kern w:val="2"/>
                <w:sz w:val="24"/>
                <w:szCs w:val="24"/>
                <w:highlight w:val="none"/>
                <w:lang w:val="zh-CN" w:eastAsia="zh-CN" w:bidi="ar-SA"/>
              </w:rPr>
              <w:t>加快建设</w:t>
            </w:r>
            <w:r>
              <w:rPr>
                <w:rFonts w:hint="default" w:ascii="Times New Roman" w:hAnsi="Times New Roman" w:eastAsia="宋体" w:cs="Times New Roman"/>
                <w:color w:val="auto"/>
                <w:kern w:val="2"/>
                <w:sz w:val="24"/>
                <w:szCs w:val="24"/>
                <w:highlight w:val="none"/>
                <w:lang w:val="zh-CN" w:eastAsia="zh-CN" w:bidi="ar-SA"/>
              </w:rPr>
              <w:t>乌鲁木齐清洁能源示范基地</w:t>
            </w:r>
            <w:r>
              <w:rPr>
                <w:rFonts w:hint="eastAsia" w:ascii="Times New Roman" w:hAnsi="Times New Roman" w:eastAsia="宋体" w:cs="Times New Roman"/>
                <w:color w:val="auto"/>
                <w:kern w:val="2"/>
                <w:sz w:val="24"/>
                <w:szCs w:val="24"/>
                <w:highlight w:val="none"/>
                <w:lang w:val="zh-CN" w:eastAsia="zh-CN" w:bidi="ar-SA"/>
              </w:rPr>
              <w:t>，积极</w:t>
            </w:r>
            <w:r>
              <w:rPr>
                <w:rFonts w:hint="default" w:ascii="Times New Roman" w:hAnsi="Times New Roman" w:eastAsia="宋体" w:cs="Times New Roman"/>
                <w:color w:val="auto"/>
                <w:kern w:val="2"/>
                <w:sz w:val="24"/>
                <w:szCs w:val="24"/>
                <w:highlight w:val="none"/>
                <w:lang w:val="zh-CN" w:eastAsia="zh-CN" w:bidi="ar-SA"/>
              </w:rPr>
              <w:t>推进乌鲁木齐清洁能源产业发展。根据能源供需形势和市场消纳能力，合理把控新能源项目开发节奏、发展速度和建设规模。推进储能产业、风电制氢试点，有序开展抽水蓄能设施建设，因地制宜选择合理技术路线，加快生物质供热、生物天然气、农村沼气发展。到2025年，全市新能源装机规模达720万千瓦，全市非化石能源占一次能源消费比重达20%左右。</w:t>
            </w:r>
          </w:p>
          <w:p w14:paraId="06A94484">
            <w:pPr>
              <w:pStyle w:val="25"/>
              <w:keepNext w:val="0"/>
              <w:keepLines w:val="0"/>
              <w:pageBreakBefore w:val="0"/>
              <w:widowControl w:val="0"/>
              <w:wordWrap/>
              <w:topLinePunct w:val="0"/>
              <w:bidi w:val="0"/>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本项目为升压站及储能建设</w:t>
            </w:r>
            <w:r>
              <w:rPr>
                <w:rFonts w:hint="eastAsia" w:eastAsia="宋体" w:cs="Times New Roman"/>
                <w:b w:val="0"/>
                <w:bCs w:val="0"/>
                <w:color w:val="auto"/>
                <w:kern w:val="2"/>
                <w:sz w:val="24"/>
                <w:szCs w:val="24"/>
                <w:highlight w:val="none"/>
                <w:lang w:val="en-US" w:eastAsia="zh-CN" w:bidi="ar-SA"/>
              </w:rPr>
              <w:t>项目</w:t>
            </w:r>
            <w:r>
              <w:rPr>
                <w:rFonts w:hint="default" w:ascii="Times New Roman" w:hAnsi="Times New Roman" w:eastAsia="宋体" w:cs="Times New Roman"/>
                <w:color w:val="auto"/>
                <w:kern w:val="2"/>
                <w:sz w:val="24"/>
                <w:szCs w:val="24"/>
                <w:highlight w:val="none"/>
                <w:lang w:val="en-US" w:eastAsia="zh-CN" w:bidi="ar-SA"/>
              </w:rPr>
              <w:t>，项目建设符合《</w:t>
            </w:r>
            <w:r>
              <w:rPr>
                <w:rFonts w:hint="eastAsia" w:ascii="Times New Roman" w:hAnsi="Times New Roman" w:eastAsia="宋体" w:cs="Times New Roman"/>
                <w:color w:val="auto"/>
                <w:kern w:val="2"/>
                <w:sz w:val="24"/>
                <w:szCs w:val="24"/>
                <w:highlight w:val="none"/>
                <w:lang w:val="en-US" w:eastAsia="zh-CN" w:bidi="ar-SA"/>
              </w:rPr>
              <w:t>乌鲁木齐市生态环境保护</w:t>
            </w:r>
            <w:r>
              <w:rPr>
                <w:rFonts w:hint="default" w:ascii="Times New Roman" w:hAnsi="Times New Roman" w:eastAsia="宋体" w:cs="Times New Roman"/>
                <w:color w:val="auto"/>
                <w:kern w:val="2"/>
                <w:sz w:val="24"/>
                <w:szCs w:val="24"/>
                <w:highlight w:val="none"/>
                <w:lang w:val="en-US" w:eastAsia="zh-CN" w:bidi="ar-SA"/>
              </w:rPr>
              <w:t>“十四五”规划》中相关内容。</w:t>
            </w:r>
          </w:p>
        </w:tc>
      </w:tr>
      <w:tr w14:paraId="6C643C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078" w:hRule="atLeast"/>
        </w:trPr>
        <w:tc>
          <w:tcPr>
            <w:tcW w:w="1142" w:type="pct"/>
            <w:noWrap w:val="0"/>
            <w:tcMar>
              <w:top w:w="16" w:type="dxa"/>
              <w:left w:w="16" w:type="dxa"/>
              <w:right w:w="16" w:type="dxa"/>
            </w:tcMar>
            <w:vAlign w:val="center"/>
          </w:tcPr>
          <w:p w14:paraId="5E4B9FAF">
            <w:pPr>
              <w:keepNext w:val="0"/>
              <w:keepLines w:val="0"/>
              <w:pageBreakBefore w:val="0"/>
              <w:widowControl w:val="0"/>
              <w:wordWrap/>
              <w:topLinePunct w:val="0"/>
              <w:autoSpaceDE w:val="0"/>
              <w:autoSpaceDN w:val="0"/>
              <w:bidi w:val="0"/>
              <w:adjustRightInd w:val="0"/>
              <w:snapToGrid w:val="0"/>
              <w:jc w:val="center"/>
              <w:rPr>
                <w:rFonts w:hint="default" w:ascii="Times New Roman" w:hAnsi="Times New Roman" w:cs="Times New Roman"/>
                <w:color w:val="auto"/>
                <w:kern w:val="0"/>
                <w:sz w:val="21"/>
                <w:szCs w:val="21"/>
                <w:highlight w:val="none"/>
              </w:rPr>
            </w:pPr>
            <w:bookmarkStart w:id="3" w:name="_Hlk56690880"/>
            <w:r>
              <w:rPr>
                <w:rFonts w:hint="default" w:ascii="Times New Roman" w:hAnsi="Times New Roman" w:cs="Times New Roman"/>
                <w:color w:val="auto"/>
                <w:kern w:val="0"/>
                <w:sz w:val="24"/>
                <w:szCs w:val="24"/>
                <w:highlight w:val="none"/>
              </w:rPr>
              <w:t>其他符合性分析</w:t>
            </w:r>
            <w:bookmarkEnd w:id="3"/>
          </w:p>
        </w:tc>
        <w:tc>
          <w:tcPr>
            <w:tcW w:w="3857" w:type="pct"/>
            <w:gridSpan w:val="3"/>
            <w:noWrap w:val="0"/>
            <w:tcMar>
              <w:top w:w="16" w:type="dxa"/>
              <w:left w:w="16" w:type="dxa"/>
              <w:right w:w="16" w:type="dxa"/>
            </w:tcMar>
            <w:vAlign w:val="center"/>
          </w:tcPr>
          <w:p w14:paraId="2BCA42D9">
            <w:pPr>
              <w:keepNext w:val="0"/>
              <w:keepLines w:val="0"/>
              <w:pageBreakBefore w:val="0"/>
              <w:widowControl w:val="0"/>
              <w:wordWrap/>
              <w:topLinePunct w:val="0"/>
              <w:bidi w:val="0"/>
              <w:spacing w:line="360" w:lineRule="auto"/>
              <w:jc w:val="both"/>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1.1与产业政策相符性</w:t>
            </w:r>
          </w:p>
          <w:p w14:paraId="555BE1B8">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根据《产业结构调整指导目录（2024年本）》，鼓励类-四、电力中“1．新型电力系统技术及装备：±800千伏及以上直流输变电，1000千伏及以上交流输变电，分布式新能源并网、分布式智能电网（含微电网）技术推广应用，电化学储能、压缩空气储能、重力储能、飞轮储能、氢（氨）储能、热储能等各类新型储能技术及应用，长时储能技术，水力发电中低温水恢复措施工程、过鱼措施工程技术开发与应用，乏风瓦斯发电技术及开发利用，垃圾焚烧发电成套设备，生物质热电联产</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eastAsia="zh-CN"/>
              </w:rPr>
              <w:t>，</w:t>
            </w:r>
            <w:r>
              <w:rPr>
                <w:rFonts w:hint="eastAsia" w:eastAsia="宋体" w:cs="Times New Roman"/>
                <w:color w:val="auto"/>
                <w:sz w:val="24"/>
                <w:highlight w:val="none"/>
                <w:lang w:val="en-US" w:eastAsia="zh-CN"/>
              </w:rPr>
              <w:t>本项目属于电化学储能，</w:t>
            </w:r>
          </w:p>
          <w:p w14:paraId="46A92FF2">
            <w:pPr>
              <w:keepNext w:val="0"/>
              <w:keepLines w:val="0"/>
              <w:widowControl/>
              <w:suppressLineNumbers w:val="0"/>
              <w:spacing w:line="360" w:lineRule="auto"/>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属于国家鼓励类项目</w:t>
            </w:r>
            <w:r>
              <w:rPr>
                <w:rFonts w:hint="default" w:ascii="Times New Roman" w:hAnsi="Times New Roman" w:eastAsia="宋体" w:cs="Times New Roman"/>
                <w:color w:val="auto"/>
                <w:sz w:val="24"/>
                <w:szCs w:val="24"/>
                <w:highlight w:val="none"/>
                <w:lang w:eastAsia="zh-CN"/>
              </w:rPr>
              <w:t>，符合国家产业政策。</w:t>
            </w:r>
          </w:p>
          <w:p w14:paraId="3C62D104">
            <w:pPr>
              <w:keepNext w:val="0"/>
              <w:keepLines w:val="0"/>
              <w:pageBreakBefore w:val="0"/>
              <w:widowControl w:val="0"/>
              <w:wordWrap/>
              <w:topLinePunct w:val="0"/>
              <w:bidi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2024年4月3日，</w:t>
            </w:r>
            <w:r>
              <w:rPr>
                <w:rFonts w:hint="default" w:ascii="Times New Roman" w:hAnsi="Times New Roman" w:cs="Times New Roman"/>
                <w:color w:val="auto"/>
                <w:sz w:val="24"/>
                <w:szCs w:val="24"/>
                <w:highlight w:val="none"/>
                <w:lang w:val="en-US" w:eastAsia="zh-CN"/>
              </w:rPr>
              <w:t>甘泉堡经济技术开发区（工业区）生态环境和产业发展局</w:t>
            </w:r>
            <w:r>
              <w:rPr>
                <w:rFonts w:hint="eastAsia" w:cs="Times New Roman"/>
                <w:color w:val="auto"/>
                <w:sz w:val="24"/>
                <w:szCs w:val="24"/>
                <w:highlight w:val="none"/>
                <w:lang w:val="en-US" w:eastAsia="zh-CN"/>
              </w:rPr>
              <w:t>出具</w:t>
            </w:r>
            <w:r>
              <w:rPr>
                <w:rFonts w:hint="default" w:ascii="Times New Roman" w:hAnsi="Times New Roman" w:eastAsia="宋体" w:cs="Times New Roman"/>
                <w:color w:val="auto"/>
                <w:sz w:val="24"/>
                <w:szCs w:val="24"/>
                <w:highlight w:val="none"/>
                <w:lang w:val="en-US" w:eastAsia="zh-CN"/>
              </w:rPr>
              <w:t>本项目的备案文件，具体见附件。</w:t>
            </w:r>
          </w:p>
          <w:p w14:paraId="24A6F8AA">
            <w:pPr>
              <w:keepNext w:val="0"/>
              <w:keepLines w:val="0"/>
              <w:pageBreakBefore w:val="0"/>
              <w:widowControl w:val="0"/>
              <w:wordWrap/>
              <w:topLinePunct w:val="0"/>
              <w:bidi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综上所述，本项目符合国家及地方产业政策。</w:t>
            </w:r>
          </w:p>
          <w:p w14:paraId="03A114FF">
            <w:pPr>
              <w:keepNext w:val="0"/>
              <w:keepLines w:val="0"/>
              <w:pageBreakBefore w:val="0"/>
              <w:widowControl w:val="0"/>
              <w:wordWrap/>
              <w:topLinePunct w:val="0"/>
              <w:bidi w:val="0"/>
              <w:spacing w:line="360" w:lineRule="auto"/>
              <w:jc w:val="both"/>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1.2“三线一单”相符性分析</w:t>
            </w:r>
          </w:p>
          <w:p w14:paraId="3C085928">
            <w:pPr>
              <w:keepNext w:val="0"/>
              <w:keepLines w:val="0"/>
              <w:pageBreakBefore w:val="0"/>
              <w:widowControl w:val="0"/>
              <w:wordWrap/>
              <w:topLinePunct w:val="0"/>
              <w:bidi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本项目与《</w:t>
            </w:r>
            <w:r>
              <w:rPr>
                <w:rFonts w:hint="eastAsia" w:eastAsia="宋体" w:cs="Times New Roman"/>
                <w:color w:val="auto"/>
                <w:sz w:val="24"/>
                <w:szCs w:val="24"/>
                <w:highlight w:val="none"/>
                <w:lang w:val="en-US" w:eastAsia="zh-CN"/>
              </w:rPr>
              <w:t>乌鲁木齐市生态环境分区管控动态更新成果</w:t>
            </w:r>
            <w:r>
              <w:rPr>
                <w:rFonts w:hint="default" w:ascii="Times New Roman" w:hAnsi="Times New Roman" w:eastAsia="宋体" w:cs="Times New Roman"/>
                <w:color w:val="auto"/>
                <w:sz w:val="24"/>
                <w:szCs w:val="24"/>
                <w:highlight w:val="none"/>
                <w:lang w:val="en-US" w:eastAsia="zh-CN"/>
              </w:rPr>
              <w:t>》符合性分析具体如下：</w:t>
            </w:r>
          </w:p>
          <w:p w14:paraId="52FADF43">
            <w:pPr>
              <w:keepNext w:val="0"/>
              <w:keepLines w:val="0"/>
              <w:pageBreakBefore w:val="0"/>
              <w:widowControl w:val="0"/>
              <w:wordWrap/>
              <w:topLinePunct w:val="0"/>
              <w:bidi w:val="0"/>
              <w:spacing w:line="360" w:lineRule="auto"/>
              <w:ind w:firstLine="480" w:firstLineChars="200"/>
              <w:jc w:val="both"/>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eastAsia="zh-CN"/>
              </w:rPr>
              <w:t>）生态保护红线</w:t>
            </w:r>
          </w:p>
          <w:p w14:paraId="5B354CB2">
            <w:pPr>
              <w:keepNext w:val="0"/>
              <w:keepLines w:val="0"/>
              <w:pageBreakBefore w:val="0"/>
              <w:widowControl w:val="0"/>
              <w:wordWrap/>
              <w:topLinePunct w:val="0"/>
              <w:bidi w:val="0"/>
              <w:spacing w:line="360" w:lineRule="auto"/>
              <w:ind w:firstLine="456" w:firstLineChars="200"/>
              <w:jc w:val="both"/>
              <w:rPr>
                <w:rFonts w:hint="default" w:ascii="Times New Roman" w:hAnsi="Times New Roman" w:eastAsia="宋体" w:cs="Times New Roman"/>
                <w:color w:val="0000FF"/>
                <w:spacing w:val="-6"/>
                <w:sz w:val="24"/>
                <w:szCs w:val="24"/>
                <w:highlight w:val="none"/>
                <w:lang w:val="en-US" w:eastAsia="zh-CN"/>
              </w:rPr>
            </w:pPr>
            <w:r>
              <w:rPr>
                <w:rFonts w:hint="default" w:ascii="Times New Roman" w:hAnsi="Times New Roman" w:eastAsia="宋体" w:cs="Times New Roman"/>
                <w:color w:val="auto"/>
                <w:spacing w:val="-6"/>
                <w:sz w:val="24"/>
                <w:szCs w:val="24"/>
                <w:highlight w:val="none"/>
                <w:lang w:val="en-US" w:eastAsia="zh-CN"/>
              </w:rPr>
              <w:t>本项目位于甘泉堡经济技术开发区（工业区），占地位于《</w:t>
            </w:r>
            <w:r>
              <w:rPr>
                <w:rFonts w:hint="eastAsia" w:eastAsia="宋体" w:cs="Times New Roman"/>
                <w:color w:val="auto"/>
                <w:spacing w:val="-6"/>
                <w:sz w:val="24"/>
                <w:szCs w:val="24"/>
                <w:highlight w:val="none"/>
                <w:lang w:val="en-US" w:eastAsia="zh-CN"/>
              </w:rPr>
              <w:t>乌鲁木齐市生态环境分区管控动态更新成果</w:t>
            </w:r>
            <w:r>
              <w:rPr>
                <w:rFonts w:hint="default" w:ascii="Times New Roman" w:hAnsi="Times New Roman" w:eastAsia="宋体" w:cs="Times New Roman"/>
                <w:color w:val="auto"/>
                <w:spacing w:val="-6"/>
                <w:sz w:val="24"/>
                <w:szCs w:val="24"/>
                <w:highlight w:val="none"/>
                <w:lang w:val="en-US" w:eastAsia="zh-CN"/>
              </w:rPr>
              <w:t>》的重点管控单元，不涉及生态保护红线。具体见图</w:t>
            </w:r>
            <w:r>
              <w:rPr>
                <w:rFonts w:hint="eastAsia" w:eastAsia="宋体" w:cs="Times New Roman"/>
                <w:color w:val="auto"/>
                <w:spacing w:val="-6"/>
                <w:sz w:val="24"/>
                <w:szCs w:val="24"/>
                <w:highlight w:val="none"/>
                <w:lang w:val="en-US" w:eastAsia="zh-CN"/>
              </w:rPr>
              <w:t>1-3</w:t>
            </w:r>
            <w:r>
              <w:rPr>
                <w:rFonts w:hint="default" w:ascii="Times New Roman" w:hAnsi="Times New Roman" w:eastAsia="宋体" w:cs="Times New Roman"/>
                <w:color w:val="auto"/>
                <w:spacing w:val="-6"/>
                <w:sz w:val="24"/>
                <w:szCs w:val="24"/>
                <w:highlight w:val="none"/>
                <w:lang w:val="en-US" w:eastAsia="zh-CN"/>
              </w:rPr>
              <w:t>乌鲁木齐市环境管控单元分类图。</w:t>
            </w:r>
          </w:p>
          <w:p w14:paraId="155389C5">
            <w:pPr>
              <w:keepNext w:val="0"/>
              <w:keepLines w:val="0"/>
              <w:pageBreakBefore w:val="0"/>
              <w:widowControl w:val="0"/>
              <w:tabs>
                <w:tab w:val="center" w:pos="3329"/>
              </w:tabs>
              <w:wordWrap/>
              <w:topLinePunct w:val="0"/>
              <w:bidi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（2）环境质量底线</w:t>
            </w:r>
            <w:r>
              <w:rPr>
                <w:rFonts w:hint="default" w:ascii="Times New Roman" w:hAnsi="Times New Roman" w:eastAsia="宋体" w:cs="Times New Roman"/>
                <w:color w:val="auto"/>
                <w:sz w:val="24"/>
                <w:szCs w:val="24"/>
                <w:highlight w:val="none"/>
                <w:lang w:val="en-US" w:eastAsia="zh-CN"/>
              </w:rPr>
              <w:tab/>
            </w:r>
          </w:p>
          <w:p w14:paraId="4492FAA3">
            <w:pPr>
              <w:spacing w:line="360" w:lineRule="auto"/>
              <w:ind w:firstLine="480" w:firstLineChars="200"/>
              <w:jc w:val="both"/>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本项目施工期采取有效措施防治大气污染、水污染，</w:t>
            </w:r>
            <w:r>
              <w:rPr>
                <w:rFonts w:hint="default" w:ascii="Times New Roman" w:hAnsi="Times New Roman" w:cs="Times New Roman"/>
                <w:color w:val="auto"/>
                <w:sz w:val="24"/>
                <w:szCs w:val="24"/>
                <w:highlight w:val="none"/>
                <w:lang w:val="en-US" w:eastAsia="zh-CN"/>
              </w:rPr>
              <w:t>运行期无废气产生，生活污水进入园区污水处理厂处理，</w:t>
            </w:r>
            <w:r>
              <w:rPr>
                <w:rFonts w:hint="eastAsia" w:cs="Times New Roman"/>
                <w:color w:val="auto"/>
                <w:sz w:val="24"/>
                <w:szCs w:val="24"/>
                <w:highlight w:val="none"/>
                <w:lang w:val="en-US" w:eastAsia="zh-CN"/>
              </w:rPr>
              <w:t>噪声满足达标排放，</w:t>
            </w:r>
            <w:r>
              <w:rPr>
                <w:rFonts w:hint="default" w:ascii="Times New Roman" w:hAnsi="Times New Roman" w:cs="Times New Roman"/>
                <w:color w:val="auto"/>
                <w:sz w:val="24"/>
                <w:szCs w:val="24"/>
                <w:highlight w:val="none"/>
                <w:lang w:val="en-US" w:eastAsia="zh-CN"/>
              </w:rPr>
              <w:t>固体废物均能得到妥善处置，因此项目符合环境质量底线要求。</w:t>
            </w:r>
          </w:p>
          <w:p w14:paraId="7A685026">
            <w:pPr>
              <w:keepNext w:val="0"/>
              <w:keepLines w:val="0"/>
              <w:pageBreakBefore w:val="0"/>
              <w:widowControl w:val="0"/>
              <w:wordWrap/>
              <w:topLinePunct w:val="0"/>
              <w:bidi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eastAsia="zh-CN"/>
              </w:rPr>
              <w:t>）资源利用上</w:t>
            </w:r>
            <w:r>
              <w:rPr>
                <w:rFonts w:hint="default" w:ascii="Times New Roman" w:hAnsi="Times New Roman" w:cs="Times New Roman"/>
                <w:color w:val="auto"/>
                <w:sz w:val="24"/>
                <w:szCs w:val="24"/>
                <w:highlight w:val="none"/>
                <w:lang w:val="en-US" w:eastAsia="zh-CN"/>
              </w:rPr>
              <w:t>线</w:t>
            </w:r>
          </w:p>
          <w:p w14:paraId="38FE7DB5">
            <w:pPr>
              <w:keepNext w:val="0"/>
              <w:keepLines w:val="0"/>
              <w:pageBreakBefore w:val="0"/>
              <w:widowControl w:val="0"/>
              <w:wordWrap/>
              <w:topLinePunct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本项目建设运营对水资源消耗量极小，占地面积较小，不突破当地资源利用上线。</w:t>
            </w:r>
          </w:p>
          <w:p w14:paraId="6E678735">
            <w:pPr>
              <w:keepNext w:val="0"/>
              <w:keepLines w:val="0"/>
              <w:pageBreakBefore w:val="0"/>
              <w:widowControl w:val="0"/>
              <w:numPr>
                <w:ilvl w:val="0"/>
                <w:numId w:val="0"/>
              </w:numPr>
              <w:wordWrap/>
              <w:topLinePunct w:val="0"/>
              <w:bidi w:val="0"/>
              <w:spacing w:line="360" w:lineRule="auto"/>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eastAsia="zh-CN"/>
              </w:rPr>
              <w:t>）生态环境准入清单</w:t>
            </w:r>
          </w:p>
          <w:p w14:paraId="10C57C4A">
            <w:pPr>
              <w:keepNext w:val="0"/>
              <w:keepLines w:val="0"/>
              <w:pageBreakBefore w:val="0"/>
              <w:widowControl w:val="0"/>
              <w:wordWrap/>
              <w:topLinePunct w:val="0"/>
              <w:bidi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本项目与《</w:t>
            </w:r>
            <w:r>
              <w:rPr>
                <w:rFonts w:hint="eastAsia" w:eastAsia="宋体" w:cs="Times New Roman"/>
                <w:color w:val="auto"/>
                <w:sz w:val="24"/>
                <w:szCs w:val="24"/>
                <w:highlight w:val="none"/>
                <w:lang w:val="en-US" w:eastAsia="zh-CN"/>
              </w:rPr>
              <w:t>乌鲁木齐市生态环境准入清单（2023年版）</w:t>
            </w:r>
            <w:r>
              <w:rPr>
                <w:rFonts w:hint="default" w:ascii="Times New Roman" w:hAnsi="Times New Roman" w:eastAsia="宋体" w:cs="Times New Roman"/>
                <w:color w:val="auto"/>
                <w:sz w:val="24"/>
                <w:szCs w:val="24"/>
                <w:highlight w:val="none"/>
                <w:lang w:val="en-US" w:eastAsia="zh-CN"/>
              </w:rPr>
              <w:t>》中“米东区环境准入清单”符合性分析，见表1-1。</w:t>
            </w:r>
          </w:p>
          <w:p w14:paraId="391121F8">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表1-1  米东区环境准入清单</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
              <w:gridCol w:w="463"/>
              <w:gridCol w:w="350"/>
              <w:gridCol w:w="337"/>
              <w:gridCol w:w="3913"/>
              <w:gridCol w:w="996"/>
              <w:gridCol w:w="426"/>
            </w:tblGrid>
            <w:tr w14:paraId="11625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4" w:hRule="atLeast"/>
                <w:jc w:val="center"/>
              </w:trPr>
              <w:tc>
                <w:tcPr>
                  <w:tcW w:w="217" w:type="pct"/>
                  <w:noWrap w:val="0"/>
                  <w:vAlign w:val="center"/>
                </w:tcPr>
                <w:p w14:paraId="0CA674A9">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环境管控单元编码</w:t>
                  </w:r>
                </w:p>
              </w:tc>
              <w:tc>
                <w:tcPr>
                  <w:tcW w:w="341" w:type="pct"/>
                  <w:noWrap w:val="0"/>
                  <w:vAlign w:val="center"/>
                </w:tcPr>
                <w:p w14:paraId="5D169A04">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环境管控单元名称</w:t>
                  </w:r>
                </w:p>
              </w:tc>
              <w:tc>
                <w:tcPr>
                  <w:tcW w:w="258" w:type="pct"/>
                  <w:noWrap w:val="0"/>
                  <w:vAlign w:val="center"/>
                </w:tcPr>
                <w:p w14:paraId="38C5BAD2">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环境管控单元类别</w:t>
                  </w:r>
                </w:p>
              </w:tc>
              <w:tc>
                <w:tcPr>
                  <w:tcW w:w="3134" w:type="pct"/>
                  <w:gridSpan w:val="2"/>
                  <w:noWrap w:val="0"/>
                  <w:vAlign w:val="center"/>
                </w:tcPr>
                <w:p w14:paraId="63C33A00">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管控要求</w:t>
                  </w:r>
                </w:p>
              </w:tc>
              <w:tc>
                <w:tcPr>
                  <w:tcW w:w="734" w:type="pct"/>
                  <w:noWrap w:val="0"/>
                  <w:vAlign w:val="center"/>
                </w:tcPr>
                <w:p w14:paraId="16EBD3FD">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w:t>
                  </w:r>
                </w:p>
                <w:p w14:paraId="530654D4">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w:t>
                  </w:r>
                </w:p>
                <w:p w14:paraId="64EEBC23">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目</w:t>
                  </w:r>
                </w:p>
              </w:tc>
              <w:tc>
                <w:tcPr>
                  <w:tcW w:w="314" w:type="pct"/>
                  <w:noWrap w:val="0"/>
                  <w:vAlign w:val="center"/>
                </w:tcPr>
                <w:p w14:paraId="542CB52E">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符合性分析</w:t>
                  </w:r>
                </w:p>
              </w:tc>
            </w:tr>
            <w:tr w14:paraId="03053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7" w:type="pct"/>
                  <w:vMerge w:val="restart"/>
                  <w:noWrap w:val="0"/>
                  <w:vAlign w:val="center"/>
                </w:tcPr>
                <w:p w14:paraId="67604D90">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pacing w:val="0"/>
                      <w:kern w:val="2"/>
                      <w:sz w:val="21"/>
                      <w:szCs w:val="21"/>
                      <w:lang w:bidi="en-US"/>
                    </w:rPr>
                    <w:t>ZH65010920013</w:t>
                  </w:r>
                </w:p>
              </w:tc>
              <w:tc>
                <w:tcPr>
                  <w:tcW w:w="341" w:type="pct"/>
                  <w:vMerge w:val="restart"/>
                  <w:noWrap w:val="0"/>
                  <w:vAlign w:val="center"/>
                </w:tcPr>
                <w:p w14:paraId="18D3D507">
                  <w:pPr>
                    <w:widowControl/>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pacing w:val="0"/>
                      <w:kern w:val="2"/>
                      <w:sz w:val="21"/>
                      <w:szCs w:val="21"/>
                      <w:lang w:bidi="en-US"/>
                    </w:rPr>
                    <w:t>甘泉堡经济技术开发区重点管控单元</w:t>
                  </w:r>
                </w:p>
              </w:tc>
              <w:tc>
                <w:tcPr>
                  <w:tcW w:w="258" w:type="pct"/>
                  <w:vMerge w:val="restart"/>
                  <w:noWrap w:val="0"/>
                  <w:vAlign w:val="center"/>
                </w:tcPr>
                <w:p w14:paraId="4E11DC78">
                  <w:pPr>
                    <w:widowControl/>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pacing w:val="0"/>
                      <w:kern w:val="2"/>
                      <w:sz w:val="21"/>
                      <w:szCs w:val="21"/>
                      <w:lang w:bidi="en-US"/>
                    </w:rPr>
                    <w:t>重点管控单元</w:t>
                  </w:r>
                </w:p>
              </w:tc>
              <w:tc>
                <w:tcPr>
                  <w:tcW w:w="248" w:type="pct"/>
                  <w:noWrap w:val="0"/>
                  <w:vAlign w:val="center"/>
                </w:tcPr>
                <w:p w14:paraId="1453C64D">
                  <w:pPr>
                    <w:keepNext w:val="0"/>
                    <w:keepLines w:val="0"/>
                    <w:pageBreakBefore w:val="0"/>
                    <w:widowControl w:val="0"/>
                    <w:wordWrap/>
                    <w:topLinePunct w:val="0"/>
                    <w:bidi w:val="0"/>
                    <w:adjustRightInd w:val="0"/>
                    <w:snapToGrid w:val="0"/>
                    <w:spacing w:line="240" w:lineRule="auto"/>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空间布局约束</w:t>
                  </w:r>
                </w:p>
              </w:tc>
              <w:tc>
                <w:tcPr>
                  <w:tcW w:w="2885" w:type="pct"/>
                  <w:noWrap w:val="0"/>
                  <w:vAlign w:val="center"/>
                </w:tcPr>
                <w:p w14:paraId="68AA55C8">
                  <w:pPr>
                    <w:keepNext w:val="0"/>
                    <w:keepLines w:val="0"/>
                    <w:widowControl/>
                    <w:suppressLineNumbers w:val="0"/>
                    <w:jc w:val="both"/>
                    <w:rPr>
                      <w:rFonts w:hint="default" w:ascii="Times New Roman" w:hAnsi="Times New Roman" w:cs="Times New Roman"/>
                      <w:sz w:val="21"/>
                      <w:szCs w:val="21"/>
                    </w:rPr>
                  </w:pPr>
                  <w:r>
                    <w:rPr>
                      <w:rFonts w:hint="default" w:ascii="Times New Roman" w:hAnsi="Times New Roman" w:eastAsia="方正仿宋_GBK"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1.1</w:t>
                  </w:r>
                  <w:r>
                    <w:rPr>
                      <w:rFonts w:hint="default" w:ascii="Times New Roman" w:hAnsi="Times New Roman" w:eastAsia="方正仿宋_GBK" w:cs="Times New Roman"/>
                      <w:color w:val="000000"/>
                      <w:kern w:val="0"/>
                      <w:sz w:val="21"/>
                      <w:szCs w:val="21"/>
                      <w:lang w:val="en-US" w:eastAsia="zh-CN" w:bidi="ar"/>
                    </w:rPr>
                    <w:t xml:space="preserve">）甘泉堡经济技术开发区主导产业：新能源、新材料、高端装备和节能环保。培育纺织服装全产业链、生物健康、新能源汽车、通航、大数据、绿色（装配式）建筑六大产业。硅基产业在现有产业基础上进行产业链延伸发展。米东区中小微企业创新创业园主导产业：物流仓储、新材料、综合加工、新型建材、机械加工、金属制品、塑料制品、彩印包装、电力设备、新材料。 </w:t>
                  </w:r>
                </w:p>
                <w:p w14:paraId="351AB91B">
                  <w:pPr>
                    <w:keepNext w:val="0"/>
                    <w:keepLines w:val="0"/>
                    <w:widowControl/>
                    <w:suppressLineNumbers w:val="0"/>
                    <w:jc w:val="both"/>
                    <w:rPr>
                      <w:rFonts w:hint="default" w:ascii="Times New Roman" w:hAnsi="Times New Roman" w:cs="Times New Roman"/>
                      <w:sz w:val="21"/>
                      <w:szCs w:val="21"/>
                    </w:rPr>
                  </w:pPr>
                  <w:r>
                    <w:rPr>
                      <w:rFonts w:hint="default" w:ascii="Times New Roman" w:hAnsi="Times New Roman" w:eastAsia="方正仿宋_GBK" w:cs="Times New Roman"/>
                      <w:color w:val="000000"/>
                      <w:kern w:val="0"/>
                      <w:sz w:val="21"/>
                      <w:szCs w:val="21"/>
                      <w:lang w:val="en-US" w:eastAsia="zh-CN" w:bidi="ar"/>
                    </w:rPr>
                    <w:t>米东区精细化工产业创新园主导产业：以石油化工产业生产的</w:t>
                  </w:r>
                  <w:r>
                    <w:rPr>
                      <w:rFonts w:hint="default" w:ascii="Times New Roman" w:hAnsi="Times New Roman" w:eastAsia="宋体" w:cs="Times New Roman"/>
                      <w:color w:val="000000"/>
                      <w:kern w:val="0"/>
                      <w:sz w:val="21"/>
                      <w:szCs w:val="21"/>
                      <w:lang w:val="en-US" w:eastAsia="zh-CN" w:bidi="ar"/>
                    </w:rPr>
                    <w:t>PTA</w:t>
                  </w:r>
                  <w:r>
                    <w:rPr>
                      <w:rFonts w:hint="default" w:ascii="Times New Roman" w:hAnsi="Times New Roman" w:eastAsia="方正仿宋_GBK" w:cs="Times New Roman"/>
                      <w:color w:val="000000"/>
                      <w:kern w:val="0"/>
                      <w:sz w:val="21"/>
                      <w:szCs w:val="21"/>
                      <w:lang w:val="en-US" w:eastAsia="zh-CN" w:bidi="ar"/>
                    </w:rPr>
                    <w:t>（精对苯二甲酸）为基础，吸纳和集聚以</w:t>
                  </w:r>
                  <w:r>
                    <w:rPr>
                      <w:rFonts w:hint="default" w:ascii="Times New Roman" w:hAnsi="Times New Roman" w:eastAsia="宋体" w:cs="Times New Roman"/>
                      <w:color w:val="000000"/>
                      <w:kern w:val="0"/>
                      <w:sz w:val="21"/>
                      <w:szCs w:val="21"/>
                      <w:lang w:val="en-US" w:eastAsia="zh-CN" w:bidi="ar"/>
                    </w:rPr>
                    <w:t>PTA</w:t>
                  </w:r>
                  <w:r>
                    <w:rPr>
                      <w:rFonts w:hint="default" w:ascii="Times New Roman" w:hAnsi="Times New Roman" w:eastAsia="方正仿宋_GBK" w:cs="Times New Roman"/>
                      <w:color w:val="000000"/>
                      <w:kern w:val="0"/>
                      <w:sz w:val="21"/>
                      <w:szCs w:val="21"/>
                      <w:lang w:val="en-US" w:eastAsia="zh-CN" w:bidi="ar"/>
                    </w:rPr>
                    <w:t>为起点的下游延伸产业，包括</w:t>
                  </w:r>
                  <w:r>
                    <w:rPr>
                      <w:rFonts w:hint="default" w:ascii="Times New Roman" w:hAnsi="Times New Roman" w:eastAsia="宋体" w:cs="Times New Roman"/>
                      <w:color w:val="000000"/>
                      <w:kern w:val="0"/>
                      <w:sz w:val="21"/>
                      <w:szCs w:val="21"/>
                      <w:lang w:val="en-US" w:eastAsia="zh-CN" w:bidi="ar"/>
                    </w:rPr>
                    <w:t>PET</w:t>
                  </w:r>
                  <w:r>
                    <w:rPr>
                      <w:rFonts w:hint="default" w:ascii="Times New Roman" w:hAnsi="Times New Roman" w:eastAsia="方正仿宋_GBK"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PTT</w:t>
                  </w:r>
                  <w:r>
                    <w:rPr>
                      <w:rFonts w:hint="default" w:ascii="Times New Roman" w:hAnsi="Times New Roman" w:eastAsia="方正仿宋_GBK"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PBT</w:t>
                  </w:r>
                  <w:r>
                    <w:rPr>
                      <w:rFonts w:hint="default" w:ascii="Times New Roman" w:hAnsi="Times New Roman" w:eastAsia="方正仿宋_GBK" w:cs="Times New Roman"/>
                      <w:color w:val="000000"/>
                      <w:kern w:val="0"/>
                      <w:sz w:val="21"/>
                      <w:szCs w:val="21"/>
                      <w:lang w:val="en-US" w:eastAsia="zh-CN" w:bidi="ar"/>
                    </w:rPr>
                    <w:t>和其他产品原料的生产和精深加工。</w:t>
                  </w:r>
                </w:p>
                <w:p w14:paraId="3B939A83">
                  <w:pPr>
                    <w:keepNext w:val="0"/>
                    <w:keepLines w:val="0"/>
                    <w:widowControl/>
                    <w:suppressLineNumbers w:val="0"/>
                    <w:jc w:val="both"/>
                    <w:rPr>
                      <w:rFonts w:hint="default" w:ascii="Times New Roman" w:hAnsi="Times New Roman" w:eastAsia="方正仿宋_GBK" w:cs="Times New Roman"/>
                      <w:color w:val="000000"/>
                      <w:kern w:val="0"/>
                      <w:sz w:val="21"/>
                      <w:szCs w:val="21"/>
                      <w:lang w:val="en-US" w:eastAsia="zh-CN" w:bidi="ar"/>
                    </w:rPr>
                  </w:pPr>
                  <w:r>
                    <w:rPr>
                      <w:rFonts w:hint="default" w:ascii="Times New Roman" w:hAnsi="Times New Roman" w:eastAsia="方正仿宋_GBK"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1.2</w:t>
                  </w:r>
                  <w:r>
                    <w:rPr>
                      <w:rFonts w:hint="default" w:ascii="Times New Roman" w:hAnsi="Times New Roman" w:eastAsia="方正仿宋_GBK" w:cs="Times New Roman"/>
                      <w:color w:val="000000"/>
                      <w:kern w:val="0"/>
                      <w:sz w:val="21"/>
                      <w:szCs w:val="21"/>
                      <w:lang w:val="en-US" w:eastAsia="zh-CN" w:bidi="ar"/>
                    </w:rPr>
                    <w:t>）不宜布局电解铝、燃煤纯发电机组、金属硅，碳化硅、氯乙烯（电石法）焦炭（含半焦）等行业的新增产能项目。</w:t>
                  </w:r>
                </w:p>
                <w:p w14:paraId="75634678">
                  <w:pPr>
                    <w:keepNext w:val="0"/>
                    <w:keepLines w:val="0"/>
                    <w:widowControl/>
                    <w:suppressLineNumbers w:val="0"/>
                    <w:jc w:val="both"/>
                    <w:rPr>
                      <w:rFonts w:hint="default" w:ascii="Times New Roman" w:hAnsi="Times New Roman" w:cs="Times New Roman"/>
                      <w:sz w:val="21"/>
                      <w:szCs w:val="21"/>
                    </w:rPr>
                  </w:pPr>
                  <w:r>
                    <w:rPr>
                      <w:rFonts w:hint="default" w:ascii="Times New Roman" w:hAnsi="Times New Roman" w:eastAsia="方正仿宋_GBK"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1.3</w:t>
                  </w:r>
                  <w:r>
                    <w:rPr>
                      <w:rFonts w:hint="default" w:ascii="Times New Roman" w:hAnsi="Times New Roman" w:eastAsia="方正仿宋_GBK" w:cs="Times New Roman"/>
                      <w:color w:val="000000"/>
                      <w:kern w:val="0"/>
                      <w:sz w:val="21"/>
                      <w:szCs w:val="21"/>
                      <w:lang w:val="en-US" w:eastAsia="zh-CN" w:bidi="ar"/>
                    </w:rPr>
                    <w:t>）执行《甘泉堡经济技术开发区产业目录》和《甘泉堡经济技术开发区产业负面清单》要求，禁止不符合产业准入要求的企业和项目入驻。</w:t>
                  </w:r>
                </w:p>
                <w:p w14:paraId="6C6F36E7">
                  <w:pPr>
                    <w:keepNext w:val="0"/>
                    <w:keepLines w:val="0"/>
                    <w:widowControl/>
                    <w:suppressLineNumbers w:val="0"/>
                    <w:jc w:val="both"/>
                    <w:rPr>
                      <w:rFonts w:hint="default" w:ascii="Times New Roman" w:hAnsi="Times New Roman" w:eastAsia="方正仿宋_GBK" w:cs="Times New Roman"/>
                      <w:color w:val="000000"/>
                      <w:kern w:val="0"/>
                      <w:sz w:val="21"/>
                      <w:szCs w:val="21"/>
                      <w:lang w:val="en-US" w:eastAsia="zh-CN" w:bidi="ar"/>
                    </w:rPr>
                  </w:pPr>
                  <w:r>
                    <w:rPr>
                      <w:rFonts w:hint="default" w:ascii="Times New Roman" w:hAnsi="Times New Roman" w:eastAsia="方正仿宋_GBK"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1.4</w:t>
                  </w:r>
                  <w:r>
                    <w:rPr>
                      <w:rFonts w:hint="default" w:ascii="Times New Roman" w:hAnsi="Times New Roman" w:eastAsia="方正仿宋_GBK" w:cs="Times New Roman"/>
                      <w:color w:val="000000"/>
                      <w:kern w:val="0"/>
                      <w:sz w:val="21"/>
                      <w:szCs w:val="21"/>
                      <w:lang w:val="en-US" w:eastAsia="zh-CN" w:bidi="ar"/>
                    </w:rPr>
                    <w:t>）在园区内设置企业准入条件，禁止单位生产总值水耗较高的企业入驻。</w:t>
                  </w:r>
                </w:p>
                <w:p w14:paraId="4EF0C725">
                  <w:pPr>
                    <w:keepNext w:val="0"/>
                    <w:keepLines w:val="0"/>
                    <w:widowControl/>
                    <w:suppressLineNumbers w:val="0"/>
                    <w:jc w:val="both"/>
                    <w:rPr>
                      <w:rFonts w:hint="default" w:ascii="Times New Roman" w:hAnsi="Times New Roman" w:cs="Times New Roman"/>
                      <w:sz w:val="21"/>
                      <w:szCs w:val="21"/>
                    </w:rPr>
                  </w:pPr>
                  <w:r>
                    <w:rPr>
                      <w:rFonts w:hint="default" w:ascii="Times New Roman" w:hAnsi="Times New Roman" w:eastAsia="方正仿宋_GBK"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1.5</w:t>
                  </w:r>
                  <w:r>
                    <w:rPr>
                      <w:rFonts w:hint="default" w:ascii="Times New Roman" w:hAnsi="Times New Roman" w:eastAsia="方正仿宋_GBK" w:cs="Times New Roman"/>
                      <w:color w:val="000000"/>
                      <w:kern w:val="0"/>
                      <w:sz w:val="21"/>
                      <w:szCs w:val="21"/>
                      <w:lang w:val="en-US" w:eastAsia="zh-CN" w:bidi="ar"/>
                    </w:rPr>
                    <w:t>）限制引进烟尘、粉尘排放量较大的项目，及不符合《挥发性有机物（</w:t>
                  </w:r>
                  <w:r>
                    <w:rPr>
                      <w:rFonts w:hint="default" w:ascii="Times New Roman" w:hAnsi="Times New Roman" w:eastAsia="宋体" w:cs="Times New Roman"/>
                      <w:color w:val="000000"/>
                      <w:kern w:val="0"/>
                      <w:sz w:val="21"/>
                      <w:szCs w:val="21"/>
                      <w:lang w:val="en-US" w:eastAsia="zh-CN" w:bidi="ar"/>
                    </w:rPr>
                    <w:t>VOCs</w:t>
                  </w:r>
                  <w:r>
                    <w:rPr>
                      <w:rFonts w:hint="default" w:ascii="Times New Roman" w:hAnsi="Times New Roman" w:eastAsia="方正仿宋_GBK" w:cs="Times New Roman"/>
                      <w:color w:val="000000"/>
                      <w:kern w:val="0"/>
                      <w:sz w:val="21"/>
                      <w:szCs w:val="21"/>
                      <w:lang w:val="en-US" w:eastAsia="zh-CN" w:bidi="ar"/>
                    </w:rPr>
                    <w:t>）污染防治技术政策》的项目。</w:t>
                  </w:r>
                </w:p>
                <w:p w14:paraId="40CCC7F5">
                  <w:pPr>
                    <w:keepNext w:val="0"/>
                    <w:keepLines w:val="0"/>
                    <w:widowControl/>
                    <w:suppressLineNumbers w:val="0"/>
                    <w:jc w:val="both"/>
                    <w:rPr>
                      <w:rFonts w:hint="default" w:ascii="Times New Roman" w:hAnsi="Times New Roman" w:cs="Times New Roman"/>
                      <w:sz w:val="21"/>
                      <w:szCs w:val="21"/>
                    </w:rPr>
                  </w:pPr>
                  <w:r>
                    <w:rPr>
                      <w:rFonts w:hint="default" w:ascii="Times New Roman" w:hAnsi="Times New Roman" w:eastAsia="方正仿宋_GBK" w:cs="Times New Roman"/>
                      <w:b/>
                      <w:bCs/>
                      <w:color w:val="000000"/>
                      <w:kern w:val="0"/>
                      <w:sz w:val="21"/>
                      <w:szCs w:val="21"/>
                      <w:lang w:val="en-US" w:eastAsia="zh-CN" w:bidi="ar"/>
                    </w:rPr>
                    <w:t>（</w:t>
                  </w:r>
                  <w:r>
                    <w:rPr>
                      <w:rFonts w:hint="default" w:ascii="Times New Roman" w:hAnsi="Times New Roman" w:eastAsia="宋体" w:cs="Times New Roman"/>
                      <w:b/>
                      <w:bCs/>
                      <w:color w:val="000000"/>
                      <w:kern w:val="0"/>
                      <w:sz w:val="21"/>
                      <w:szCs w:val="21"/>
                      <w:lang w:val="en-US" w:eastAsia="zh-CN" w:bidi="ar"/>
                    </w:rPr>
                    <w:t>1.6</w:t>
                  </w:r>
                  <w:r>
                    <w:rPr>
                      <w:rFonts w:hint="default" w:ascii="Times New Roman" w:hAnsi="Times New Roman" w:eastAsia="方正仿宋_GBK" w:cs="Times New Roman"/>
                      <w:b/>
                      <w:bCs/>
                      <w:color w:val="000000"/>
                      <w:kern w:val="0"/>
                      <w:sz w:val="21"/>
                      <w:szCs w:val="21"/>
                      <w:lang w:val="en-US" w:eastAsia="zh-CN" w:bidi="ar"/>
                    </w:rPr>
                    <w:t>）依据国家新能源监测预警结果有序扩大新能源和可再生能源规模，推进储能产业、风电制氢试点，提高清洁能源供给能力。</w:t>
                  </w:r>
                </w:p>
                <w:p w14:paraId="56876114">
                  <w:pPr>
                    <w:keepNext w:val="0"/>
                    <w:keepLines w:val="0"/>
                    <w:widowControl/>
                    <w:suppressLineNumbers w:val="0"/>
                    <w:jc w:val="both"/>
                    <w:rPr>
                      <w:rFonts w:hint="default" w:ascii="Times New Roman" w:hAnsi="Times New Roman" w:cs="Times New Roman"/>
                      <w:sz w:val="21"/>
                      <w:szCs w:val="21"/>
                    </w:rPr>
                  </w:pPr>
                  <w:r>
                    <w:rPr>
                      <w:rFonts w:hint="default" w:ascii="Times New Roman" w:hAnsi="Times New Roman" w:eastAsia="方正仿宋_GBK"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1.7</w:t>
                  </w:r>
                  <w:r>
                    <w:rPr>
                      <w:rFonts w:hint="default" w:ascii="Times New Roman" w:hAnsi="Times New Roman" w:eastAsia="方正仿宋_GBK" w:cs="Times New Roman"/>
                      <w:color w:val="000000"/>
                      <w:kern w:val="0"/>
                      <w:sz w:val="21"/>
                      <w:szCs w:val="21"/>
                      <w:lang w:val="en-US" w:eastAsia="zh-CN" w:bidi="ar"/>
                    </w:rPr>
                    <w:t>）高排放区禁止新建、扩建、改建高污染燃料设施。严格控制区域内火电、石化、化工、冶金、钢铁、建材等高耗能行业产能规模。</w:t>
                  </w:r>
                </w:p>
                <w:p w14:paraId="57559498">
                  <w:pPr>
                    <w:keepNext w:val="0"/>
                    <w:keepLines w:val="0"/>
                    <w:widowControl/>
                    <w:suppressLineNumbers w:val="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方正仿宋_GBK"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1.8</w:t>
                  </w:r>
                  <w:r>
                    <w:rPr>
                      <w:rFonts w:hint="default" w:ascii="Times New Roman" w:hAnsi="Times New Roman" w:eastAsia="方正仿宋_GBK" w:cs="Times New Roman"/>
                      <w:color w:val="000000"/>
                      <w:kern w:val="0"/>
                      <w:sz w:val="21"/>
                      <w:szCs w:val="21"/>
                      <w:lang w:val="en-US" w:eastAsia="zh-CN" w:bidi="ar"/>
                    </w:rPr>
                    <w:t>）严格落实国家、自治区风电及光伏基地开发保护要求，按照相关规划开展建设。对风电及光伏资源开发利用进行合理布局，鼓励利用未利用地发展风电、光伏等绿色能源产业，严禁在环境敏感区、重要生态功能保护区内布局。在符合上述管控要求前提下，支持风电、光伏基地项目以及相关配套基础设施建设。</w:t>
                  </w:r>
                </w:p>
              </w:tc>
              <w:tc>
                <w:tcPr>
                  <w:tcW w:w="734" w:type="pct"/>
                  <w:noWrap w:val="0"/>
                  <w:vAlign w:val="center"/>
                </w:tcPr>
                <w:p w14:paraId="12B1AB5C">
                  <w:pPr>
                    <w:keepNext w:val="0"/>
                    <w:keepLines w:val="0"/>
                    <w:pageBreakBefore w:val="0"/>
                    <w:widowControl w:val="0"/>
                    <w:suppressLineNumbers w:val="0"/>
                    <w:wordWrap/>
                    <w:topLinePunct w:val="0"/>
                    <w:bidi w:val="0"/>
                    <w:spacing w:line="240" w:lineRule="auto"/>
                    <w:jc w:val="both"/>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本项目为升压站及储能建设</w:t>
                  </w:r>
                  <w:r>
                    <w:rPr>
                      <w:rFonts w:hint="eastAsia" w:eastAsia="宋体" w:cs="Times New Roman"/>
                      <w:b w:val="0"/>
                      <w:bCs w:val="0"/>
                      <w:color w:val="auto"/>
                      <w:kern w:val="2"/>
                      <w:sz w:val="21"/>
                      <w:szCs w:val="21"/>
                      <w:highlight w:val="none"/>
                      <w:lang w:val="en-US" w:eastAsia="zh-CN" w:bidi="ar-SA"/>
                    </w:rPr>
                    <w:t>项目</w:t>
                  </w:r>
                  <w:r>
                    <w:rPr>
                      <w:rFonts w:hint="default" w:ascii="Times New Roman" w:hAnsi="Times New Roman" w:cs="Times New Roman"/>
                      <w:color w:val="auto"/>
                      <w:kern w:val="0"/>
                      <w:sz w:val="21"/>
                      <w:szCs w:val="21"/>
                      <w:highlight w:val="none"/>
                      <w:lang w:val="en-US" w:eastAsia="zh-CN" w:bidi="ar"/>
                    </w:rPr>
                    <w:t>，符合</w:t>
                  </w:r>
                  <w:r>
                    <w:rPr>
                      <w:rFonts w:hint="default" w:ascii="Times New Roman" w:hAnsi="Times New Roman" w:eastAsia="宋体" w:cs="Times New Roman"/>
                      <w:color w:val="auto"/>
                      <w:spacing w:val="0"/>
                      <w:kern w:val="2"/>
                      <w:sz w:val="21"/>
                      <w:szCs w:val="21"/>
                      <w:lang w:bidi="en-US"/>
                    </w:rPr>
                    <w:t>甘泉堡经济技术开发区重点管控单元</w:t>
                  </w:r>
                  <w:r>
                    <w:rPr>
                      <w:rFonts w:hint="default" w:ascii="Times New Roman" w:hAnsi="Times New Roman" w:eastAsia="宋体" w:cs="Times New Roman"/>
                      <w:color w:val="auto"/>
                      <w:spacing w:val="0"/>
                      <w:kern w:val="2"/>
                      <w:sz w:val="21"/>
                      <w:szCs w:val="21"/>
                      <w:lang w:val="en-US" w:eastAsia="zh-CN" w:bidi="en-US"/>
                    </w:rPr>
                    <w:t>空间布局约束</w:t>
                  </w:r>
                </w:p>
              </w:tc>
              <w:tc>
                <w:tcPr>
                  <w:tcW w:w="314" w:type="pct"/>
                  <w:noWrap w:val="0"/>
                  <w:vAlign w:val="center"/>
                </w:tcPr>
                <w:p w14:paraId="1D8C2CE7">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27B8F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atLeast"/>
                <w:jc w:val="center"/>
              </w:trPr>
              <w:tc>
                <w:tcPr>
                  <w:tcW w:w="217" w:type="pct"/>
                  <w:vMerge w:val="continue"/>
                  <w:noWrap w:val="0"/>
                  <w:vAlign w:val="center"/>
                </w:tcPr>
                <w:p w14:paraId="1E0EF9F7">
                  <w:pPr>
                    <w:keepNext w:val="0"/>
                    <w:keepLines w:val="0"/>
                    <w:pageBreakBefore w:val="0"/>
                    <w:widowControl w:val="0"/>
                    <w:wordWrap/>
                    <w:topLinePunct w:val="0"/>
                    <w:bidi w:val="0"/>
                    <w:adjustRightInd w:val="0"/>
                    <w:snapToGrid w:val="0"/>
                    <w:spacing w:line="240" w:lineRule="auto"/>
                    <w:jc w:val="both"/>
                    <w:rPr>
                      <w:rFonts w:hint="default" w:ascii="Times New Roman" w:hAnsi="Times New Roman" w:eastAsia="宋体" w:cs="Times New Roman"/>
                      <w:color w:val="auto"/>
                      <w:sz w:val="21"/>
                      <w:szCs w:val="21"/>
                      <w:highlight w:val="none"/>
                      <w:lang w:val="en-US" w:eastAsia="zh-CN"/>
                    </w:rPr>
                  </w:pPr>
                </w:p>
              </w:tc>
              <w:tc>
                <w:tcPr>
                  <w:tcW w:w="341" w:type="pct"/>
                  <w:vMerge w:val="continue"/>
                  <w:noWrap w:val="0"/>
                  <w:vAlign w:val="center"/>
                </w:tcPr>
                <w:p w14:paraId="590A2128">
                  <w:pPr>
                    <w:keepNext w:val="0"/>
                    <w:keepLines w:val="0"/>
                    <w:pageBreakBefore w:val="0"/>
                    <w:widowControl w:val="0"/>
                    <w:wordWrap/>
                    <w:topLinePunct w:val="0"/>
                    <w:bidi w:val="0"/>
                    <w:adjustRightInd w:val="0"/>
                    <w:snapToGrid w:val="0"/>
                    <w:spacing w:line="240" w:lineRule="auto"/>
                    <w:jc w:val="both"/>
                    <w:rPr>
                      <w:rFonts w:hint="default" w:ascii="Times New Roman" w:hAnsi="Times New Roman" w:eastAsia="宋体" w:cs="Times New Roman"/>
                      <w:color w:val="auto"/>
                      <w:sz w:val="21"/>
                      <w:szCs w:val="21"/>
                      <w:highlight w:val="none"/>
                      <w:lang w:val="en-US" w:eastAsia="zh-CN"/>
                    </w:rPr>
                  </w:pPr>
                </w:p>
              </w:tc>
              <w:tc>
                <w:tcPr>
                  <w:tcW w:w="258" w:type="pct"/>
                  <w:vMerge w:val="continue"/>
                  <w:noWrap w:val="0"/>
                  <w:vAlign w:val="center"/>
                </w:tcPr>
                <w:p w14:paraId="3AEB9B30">
                  <w:pPr>
                    <w:keepNext w:val="0"/>
                    <w:keepLines w:val="0"/>
                    <w:pageBreakBefore w:val="0"/>
                    <w:widowControl w:val="0"/>
                    <w:wordWrap/>
                    <w:topLinePunct w:val="0"/>
                    <w:bidi w:val="0"/>
                    <w:adjustRightInd w:val="0"/>
                    <w:snapToGrid w:val="0"/>
                    <w:spacing w:line="240" w:lineRule="auto"/>
                    <w:jc w:val="both"/>
                    <w:rPr>
                      <w:rFonts w:hint="default" w:ascii="Times New Roman" w:hAnsi="Times New Roman" w:eastAsia="宋体" w:cs="Times New Roman"/>
                      <w:color w:val="auto"/>
                      <w:sz w:val="21"/>
                      <w:szCs w:val="21"/>
                      <w:highlight w:val="none"/>
                      <w:lang w:val="en-US" w:eastAsia="zh-CN"/>
                    </w:rPr>
                  </w:pPr>
                </w:p>
              </w:tc>
              <w:tc>
                <w:tcPr>
                  <w:tcW w:w="248" w:type="pct"/>
                  <w:noWrap w:val="0"/>
                  <w:vAlign w:val="center"/>
                </w:tcPr>
                <w:p w14:paraId="7B638A0B">
                  <w:pPr>
                    <w:keepNext w:val="0"/>
                    <w:keepLines w:val="0"/>
                    <w:pageBreakBefore w:val="0"/>
                    <w:widowControl w:val="0"/>
                    <w:wordWrap/>
                    <w:topLinePunct w:val="0"/>
                    <w:bidi w:val="0"/>
                    <w:adjustRightInd w:val="0"/>
                    <w:snapToGrid w:val="0"/>
                    <w:spacing w:line="240" w:lineRule="auto"/>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污染物排放管控</w:t>
                  </w:r>
                </w:p>
              </w:tc>
              <w:tc>
                <w:tcPr>
                  <w:tcW w:w="2885" w:type="pct"/>
                  <w:noWrap w:val="0"/>
                  <w:vAlign w:val="center"/>
                </w:tcPr>
                <w:p w14:paraId="290370AE">
                  <w:pPr>
                    <w:keepNext w:val="0"/>
                    <w:keepLines w:val="0"/>
                    <w:widowControl/>
                    <w:suppressLineNumbers w:val="0"/>
                    <w:jc w:val="both"/>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1</w:t>
                  </w:r>
                  <w:r>
                    <w:rPr>
                      <w:rFonts w:hint="default" w:ascii="Times New Roman" w:hAnsi="Times New Roman" w:eastAsia="方正仿宋_GBK" w:cs="Times New Roman"/>
                      <w:color w:val="000000"/>
                      <w:kern w:val="0"/>
                      <w:sz w:val="21"/>
                      <w:szCs w:val="21"/>
                      <w:lang w:val="en-US" w:eastAsia="zh-CN" w:bidi="ar"/>
                    </w:rPr>
                    <w:t>．甘泉堡经济技术开发区区域内执行以下管控要求：</w:t>
                  </w:r>
                </w:p>
                <w:p w14:paraId="332D7793">
                  <w:pPr>
                    <w:keepNext w:val="0"/>
                    <w:keepLines w:val="0"/>
                    <w:widowControl/>
                    <w:suppressLineNumbers w:val="0"/>
                    <w:jc w:val="both"/>
                    <w:rPr>
                      <w:rFonts w:hint="default" w:ascii="Times New Roman" w:hAnsi="Times New Roman" w:cs="Times New Roman"/>
                      <w:sz w:val="21"/>
                      <w:szCs w:val="21"/>
                    </w:rPr>
                  </w:pPr>
                  <w:r>
                    <w:rPr>
                      <w:rFonts w:hint="default" w:ascii="Times New Roman" w:hAnsi="Times New Roman" w:eastAsia="方正仿宋_GBK"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2.1</w:t>
                  </w:r>
                  <w:r>
                    <w:rPr>
                      <w:rFonts w:hint="default" w:ascii="Times New Roman" w:hAnsi="Times New Roman" w:eastAsia="方正仿宋_GBK" w:cs="Times New Roman"/>
                      <w:color w:val="000000"/>
                      <w:kern w:val="0"/>
                      <w:sz w:val="21"/>
                      <w:szCs w:val="21"/>
                      <w:lang w:val="en-US" w:eastAsia="zh-CN" w:bidi="ar"/>
                    </w:rPr>
                    <w:t>）大气污染防治措施：</w:t>
                  </w:r>
                </w:p>
                <w:p w14:paraId="7211D987">
                  <w:pPr>
                    <w:keepNext w:val="0"/>
                    <w:keepLines w:val="0"/>
                    <w:widowControl/>
                    <w:suppressLineNumbers w:val="0"/>
                    <w:jc w:val="both"/>
                    <w:rPr>
                      <w:rFonts w:hint="default" w:ascii="Times New Roman" w:hAnsi="Times New Roman" w:cs="Times New Roman"/>
                      <w:sz w:val="21"/>
                      <w:szCs w:val="21"/>
                    </w:rPr>
                  </w:pPr>
                  <w:r>
                    <w:rPr>
                      <w:rFonts w:hint="default" w:ascii="Times New Roman" w:hAnsi="Times New Roman" w:eastAsia="仿宋_GB2312" w:cs="Times New Roman"/>
                      <w:color w:val="000000"/>
                      <w:kern w:val="0"/>
                      <w:sz w:val="21"/>
                      <w:szCs w:val="21"/>
                      <w:lang w:val="en-US" w:eastAsia="zh-CN" w:bidi="ar"/>
                    </w:rPr>
                    <w:t>①</w:t>
                  </w:r>
                  <w:r>
                    <w:rPr>
                      <w:rFonts w:hint="default" w:ascii="Times New Roman" w:hAnsi="Times New Roman" w:eastAsia="方正仿宋_GBK" w:cs="Times New Roman"/>
                      <w:color w:val="000000"/>
                      <w:kern w:val="0"/>
                      <w:sz w:val="21"/>
                      <w:szCs w:val="21"/>
                      <w:lang w:val="en-US" w:eastAsia="zh-CN" w:bidi="ar"/>
                    </w:rPr>
                    <w:t>工业项目采用转化率高，废气排放量少的清洁生产工艺；</w:t>
                  </w:r>
                  <w:r>
                    <w:rPr>
                      <w:rFonts w:hint="default" w:ascii="Times New Roman" w:hAnsi="Times New Roman" w:eastAsia="仿宋_GB2312" w:cs="Times New Roman"/>
                      <w:color w:val="000000"/>
                      <w:kern w:val="0"/>
                      <w:sz w:val="21"/>
                      <w:szCs w:val="21"/>
                      <w:lang w:val="en-US" w:eastAsia="zh-CN" w:bidi="ar"/>
                    </w:rPr>
                    <w:t>②</w:t>
                  </w:r>
                  <w:r>
                    <w:rPr>
                      <w:rFonts w:hint="default" w:ascii="Times New Roman" w:hAnsi="Times New Roman" w:eastAsia="方正仿宋_GBK" w:cs="Times New Roman"/>
                      <w:color w:val="000000"/>
                      <w:kern w:val="0"/>
                      <w:sz w:val="21"/>
                      <w:szCs w:val="21"/>
                      <w:lang w:val="en-US" w:eastAsia="zh-CN" w:bidi="ar"/>
                    </w:rPr>
                    <w:t>对工业废气最大限度的回收，减少排放；</w:t>
                  </w:r>
                  <w:r>
                    <w:rPr>
                      <w:rFonts w:hint="default" w:ascii="Times New Roman" w:hAnsi="Times New Roman" w:eastAsia="仿宋_GB2312" w:cs="Times New Roman"/>
                      <w:color w:val="000000"/>
                      <w:kern w:val="0"/>
                      <w:sz w:val="21"/>
                      <w:szCs w:val="21"/>
                      <w:lang w:val="en-US" w:eastAsia="zh-CN" w:bidi="ar"/>
                    </w:rPr>
                    <w:t>③</w:t>
                  </w:r>
                  <w:r>
                    <w:rPr>
                      <w:rFonts w:hint="default" w:ascii="Times New Roman" w:hAnsi="Times New Roman" w:eastAsia="方正仿宋_GBK" w:cs="Times New Roman"/>
                      <w:color w:val="000000"/>
                      <w:kern w:val="0"/>
                      <w:sz w:val="21"/>
                      <w:szCs w:val="21"/>
                      <w:lang w:val="en-US" w:eastAsia="zh-CN" w:bidi="ar"/>
                    </w:rPr>
                    <w:t>废气处理：严格控制有毒和有害气体的排放，并对有毒和有害气体排放实施在线自动检测仪监控；烟尘控制区覆盖率达到</w:t>
                  </w:r>
                  <w:r>
                    <w:rPr>
                      <w:rFonts w:hint="default" w:ascii="Times New Roman" w:hAnsi="Times New Roman" w:eastAsia="宋体" w:cs="Times New Roman"/>
                      <w:color w:val="000000"/>
                      <w:kern w:val="0"/>
                      <w:sz w:val="21"/>
                      <w:szCs w:val="21"/>
                      <w:lang w:val="en-US" w:eastAsia="zh-CN" w:bidi="ar"/>
                    </w:rPr>
                    <w:t>100</w:t>
                  </w:r>
                  <w:r>
                    <w:rPr>
                      <w:rFonts w:hint="default" w:ascii="Times New Roman" w:hAnsi="Times New Roman" w:eastAsia="方正仿宋_GBK" w:cs="Times New Roman"/>
                      <w:color w:val="000000"/>
                      <w:kern w:val="0"/>
                      <w:sz w:val="21"/>
                      <w:szCs w:val="21"/>
                      <w:lang w:val="en-US" w:eastAsia="zh-CN" w:bidi="ar"/>
                    </w:rPr>
                    <w:t>％，污染物排放达标率达到</w:t>
                  </w:r>
                  <w:r>
                    <w:rPr>
                      <w:rFonts w:hint="default" w:ascii="Times New Roman" w:hAnsi="Times New Roman" w:eastAsia="宋体" w:cs="Times New Roman"/>
                      <w:color w:val="000000"/>
                      <w:kern w:val="0"/>
                      <w:sz w:val="21"/>
                      <w:szCs w:val="21"/>
                      <w:lang w:val="en-US" w:eastAsia="zh-CN" w:bidi="ar"/>
                    </w:rPr>
                    <w:t>100</w:t>
                  </w:r>
                  <w:r>
                    <w:rPr>
                      <w:rFonts w:hint="default" w:ascii="Times New Roman" w:hAnsi="Times New Roman" w:eastAsia="方正仿宋_GBK" w:cs="Times New Roman"/>
                      <w:color w:val="000000"/>
                      <w:kern w:val="0"/>
                      <w:sz w:val="21"/>
                      <w:szCs w:val="21"/>
                      <w:lang w:val="en-US" w:eastAsia="zh-CN" w:bidi="ar"/>
                    </w:rPr>
                    <w:t>％；</w:t>
                  </w:r>
                  <w:r>
                    <w:rPr>
                      <w:rFonts w:hint="default" w:ascii="Times New Roman" w:hAnsi="Times New Roman" w:eastAsia="仿宋_GB2312" w:cs="Times New Roman"/>
                      <w:color w:val="000000"/>
                      <w:kern w:val="0"/>
                      <w:sz w:val="21"/>
                      <w:szCs w:val="21"/>
                      <w:lang w:val="en-US" w:eastAsia="zh-CN" w:bidi="ar"/>
                    </w:rPr>
                    <w:t>④</w:t>
                  </w:r>
                  <w:r>
                    <w:rPr>
                      <w:rFonts w:hint="default" w:ascii="Times New Roman" w:hAnsi="Times New Roman" w:eastAsia="方正仿宋_GBK" w:cs="Times New Roman"/>
                      <w:color w:val="000000"/>
                      <w:kern w:val="0"/>
                      <w:sz w:val="21"/>
                      <w:szCs w:val="21"/>
                      <w:lang w:val="en-US" w:eastAsia="zh-CN" w:bidi="ar"/>
                    </w:rPr>
                    <w:t>严格落实大气污染物达标排放、总量控制、环保设施“三同时”、在线监测、排污许可等环保制度；严格控制区域内火电、石化、化工、冶金、钢铁、建材等高耗能行业产能规模；持续降低工业园区能耗强度、大气污染物排放总量；</w:t>
                  </w:r>
                  <w:r>
                    <w:rPr>
                      <w:rFonts w:hint="default" w:ascii="Times New Roman" w:hAnsi="Times New Roman" w:eastAsia="仿宋_GB2312" w:cs="Times New Roman"/>
                      <w:color w:val="000000"/>
                      <w:kern w:val="0"/>
                      <w:sz w:val="21"/>
                      <w:szCs w:val="21"/>
                      <w:lang w:val="en-US" w:eastAsia="zh-CN" w:bidi="ar"/>
                    </w:rPr>
                    <w:t>⑤</w:t>
                  </w:r>
                  <w:r>
                    <w:rPr>
                      <w:rFonts w:hint="default" w:ascii="Times New Roman" w:hAnsi="Times New Roman" w:eastAsia="方正仿宋_GBK" w:cs="Times New Roman"/>
                      <w:color w:val="000000"/>
                      <w:kern w:val="0"/>
                      <w:sz w:val="21"/>
                      <w:szCs w:val="21"/>
                      <w:lang w:val="en-US" w:eastAsia="zh-CN" w:bidi="ar"/>
                    </w:rPr>
                    <w:t>全面实施重点行业企业污染物排放深度整治。全面实施各类锅炉深度治理或清洁能源改造，加快完成燃气锅炉低氮改造；</w:t>
                  </w:r>
                  <w:r>
                    <w:rPr>
                      <w:rFonts w:hint="default" w:ascii="Times New Roman" w:hAnsi="Times New Roman" w:eastAsia="仿宋_GB2312" w:cs="Times New Roman"/>
                      <w:color w:val="000000"/>
                      <w:kern w:val="0"/>
                      <w:sz w:val="21"/>
                      <w:szCs w:val="21"/>
                      <w:lang w:val="en-US" w:eastAsia="zh-CN" w:bidi="ar"/>
                    </w:rPr>
                    <w:t>⑥</w:t>
                  </w:r>
                  <w:r>
                    <w:rPr>
                      <w:rFonts w:hint="default" w:ascii="Times New Roman" w:hAnsi="Times New Roman" w:eastAsia="方正仿宋_GBK" w:cs="Times New Roman"/>
                      <w:color w:val="000000"/>
                      <w:kern w:val="0"/>
                      <w:sz w:val="21"/>
                      <w:szCs w:val="21"/>
                      <w:lang w:val="en-US" w:eastAsia="zh-CN" w:bidi="ar"/>
                    </w:rPr>
                    <w:t>采取道路及时清扫、保湿降尘，控制超载超速、跑冒撒漏，企业粉状物料全密闭、覆盖，增加绿化覆盖率等综合措施；</w:t>
                  </w:r>
                  <w:r>
                    <w:rPr>
                      <w:rFonts w:hint="default" w:ascii="Times New Roman" w:hAnsi="Times New Roman" w:eastAsia="仿宋_GB2312" w:cs="Times New Roman"/>
                      <w:color w:val="000000"/>
                      <w:kern w:val="0"/>
                      <w:sz w:val="21"/>
                      <w:szCs w:val="21"/>
                      <w:lang w:val="en-US" w:eastAsia="zh-CN" w:bidi="ar"/>
                    </w:rPr>
                    <w:t>⑦</w:t>
                  </w:r>
                  <w:r>
                    <w:rPr>
                      <w:rFonts w:hint="default" w:ascii="Times New Roman" w:hAnsi="Times New Roman" w:eastAsia="方正仿宋_GBK" w:cs="Times New Roman"/>
                      <w:color w:val="000000"/>
                      <w:kern w:val="0"/>
                      <w:sz w:val="21"/>
                      <w:szCs w:val="21"/>
                      <w:lang w:val="en-US" w:eastAsia="zh-CN" w:bidi="ar"/>
                    </w:rPr>
                    <w:t>治理挥发性有机物污染。引导企业实施清洁涂料、溶剂、原料替代。开展化工企业挥发性有机物泄漏检测与修复，全面完成化工企业提标改造；</w:t>
                  </w:r>
                  <w:r>
                    <w:rPr>
                      <w:rFonts w:hint="default" w:ascii="Times New Roman" w:hAnsi="Times New Roman" w:eastAsia="仿宋_GB2312" w:cs="Times New Roman"/>
                      <w:color w:val="000000"/>
                      <w:kern w:val="0"/>
                      <w:sz w:val="21"/>
                      <w:szCs w:val="21"/>
                      <w:lang w:val="en-US" w:eastAsia="zh-CN" w:bidi="ar"/>
                    </w:rPr>
                    <w:t>⑧</w:t>
                  </w:r>
                  <w:r>
                    <w:rPr>
                      <w:rFonts w:hint="default" w:ascii="Times New Roman" w:hAnsi="Times New Roman" w:eastAsia="方正仿宋_GBK" w:cs="Times New Roman"/>
                      <w:color w:val="000000"/>
                      <w:kern w:val="0"/>
                      <w:sz w:val="21"/>
                      <w:szCs w:val="21"/>
                      <w:lang w:val="en-US" w:eastAsia="zh-CN" w:bidi="ar"/>
                    </w:rPr>
                    <w:t>考虑到园区各企业采暖及生产用蒸汽均自建燃气或电锅炉，园区禁止新增燃煤锅炉。</w:t>
                  </w:r>
                </w:p>
                <w:p w14:paraId="140F77FF">
                  <w:pPr>
                    <w:keepNext w:val="0"/>
                    <w:keepLines w:val="0"/>
                    <w:widowControl/>
                    <w:suppressLineNumbers w:val="0"/>
                    <w:jc w:val="both"/>
                    <w:rPr>
                      <w:rFonts w:hint="default" w:ascii="Times New Roman" w:hAnsi="Times New Roman" w:cs="Times New Roman"/>
                      <w:sz w:val="21"/>
                      <w:szCs w:val="21"/>
                    </w:rPr>
                  </w:pPr>
                  <w:r>
                    <w:rPr>
                      <w:rFonts w:hint="default" w:ascii="Times New Roman" w:hAnsi="Times New Roman" w:eastAsia="方正仿宋_GBK"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2.2</w:t>
                  </w:r>
                  <w:r>
                    <w:rPr>
                      <w:rFonts w:hint="default" w:ascii="Times New Roman" w:hAnsi="Times New Roman" w:eastAsia="方正仿宋_GBK" w:cs="Times New Roman"/>
                      <w:color w:val="000000"/>
                      <w:kern w:val="0"/>
                      <w:sz w:val="21"/>
                      <w:szCs w:val="21"/>
                      <w:lang w:val="en-US" w:eastAsia="zh-CN" w:bidi="ar"/>
                    </w:rPr>
                    <w:t>）废水污染防治措施</w:t>
                  </w:r>
                </w:p>
                <w:p w14:paraId="13F8CCF9">
                  <w:pPr>
                    <w:keepNext w:val="0"/>
                    <w:keepLines w:val="0"/>
                    <w:widowControl/>
                    <w:suppressLineNumbers w:val="0"/>
                    <w:jc w:val="both"/>
                    <w:rPr>
                      <w:rFonts w:hint="default" w:ascii="Times New Roman" w:hAnsi="Times New Roman" w:cs="Times New Roman"/>
                      <w:sz w:val="21"/>
                      <w:szCs w:val="21"/>
                    </w:rPr>
                  </w:pPr>
                  <w:r>
                    <w:rPr>
                      <w:rFonts w:hint="default" w:ascii="Times New Roman" w:hAnsi="Times New Roman" w:eastAsia="仿宋_GB2312" w:cs="Times New Roman"/>
                      <w:color w:val="000000"/>
                      <w:kern w:val="0"/>
                      <w:sz w:val="21"/>
                      <w:szCs w:val="21"/>
                      <w:lang w:val="en-US" w:eastAsia="zh-CN" w:bidi="ar"/>
                    </w:rPr>
                    <w:t>①</w:t>
                  </w:r>
                  <w:r>
                    <w:rPr>
                      <w:rFonts w:hint="default" w:ascii="Times New Roman" w:hAnsi="Times New Roman" w:eastAsia="方正仿宋_GBK" w:cs="Times New Roman"/>
                      <w:color w:val="000000"/>
                      <w:kern w:val="0"/>
                      <w:sz w:val="21"/>
                      <w:szCs w:val="21"/>
                      <w:lang w:val="en-US" w:eastAsia="zh-CN" w:bidi="ar"/>
                    </w:rPr>
                    <w:t>选择节水工艺，鼓励“一水多用”，减少废水排放；</w:t>
                  </w:r>
                  <w:r>
                    <w:rPr>
                      <w:rFonts w:hint="default" w:ascii="Times New Roman" w:hAnsi="Times New Roman" w:eastAsia="仿宋_GB2312" w:cs="Times New Roman"/>
                      <w:color w:val="000000"/>
                      <w:kern w:val="0"/>
                      <w:sz w:val="21"/>
                      <w:szCs w:val="21"/>
                      <w:lang w:val="en-US" w:eastAsia="zh-CN" w:bidi="ar"/>
                    </w:rPr>
                    <w:t>②</w:t>
                  </w:r>
                  <w:r>
                    <w:rPr>
                      <w:rFonts w:hint="default" w:ascii="Times New Roman" w:hAnsi="Times New Roman" w:eastAsia="方正仿宋_GBK" w:cs="Times New Roman"/>
                      <w:color w:val="000000"/>
                      <w:kern w:val="0"/>
                      <w:sz w:val="21"/>
                      <w:szCs w:val="21"/>
                      <w:lang w:val="en-US" w:eastAsia="zh-CN" w:bidi="ar"/>
                    </w:rPr>
                    <w:t>生产废水、生活污水及污染区域的初期雨水实施集中处理，建设集中污水处理厂，实现达标排放。排入城镇下水道的污水同时应符合《污水排入城镇下水道水质标准》（</w:t>
                  </w:r>
                  <w:r>
                    <w:rPr>
                      <w:rFonts w:hint="default" w:ascii="Times New Roman" w:hAnsi="Times New Roman" w:eastAsia="宋体" w:cs="Times New Roman"/>
                      <w:color w:val="000000"/>
                      <w:kern w:val="0"/>
                      <w:sz w:val="21"/>
                      <w:szCs w:val="21"/>
                      <w:lang w:val="en-US" w:eastAsia="zh-CN" w:bidi="ar"/>
                    </w:rPr>
                    <w:t>GB/T31962-2015</w:t>
                  </w:r>
                  <w:r>
                    <w:rPr>
                      <w:rFonts w:hint="default" w:ascii="Times New Roman" w:hAnsi="Times New Roman" w:eastAsia="方正仿宋_GBK" w:cs="Times New Roman"/>
                      <w:color w:val="000000"/>
                      <w:kern w:val="0"/>
                      <w:sz w:val="21"/>
                      <w:szCs w:val="21"/>
                      <w:lang w:val="en-US" w:eastAsia="zh-CN" w:bidi="ar"/>
                    </w:rPr>
                    <w:t>）；</w:t>
                  </w:r>
                  <w:r>
                    <w:rPr>
                      <w:rFonts w:hint="default" w:ascii="Times New Roman" w:hAnsi="Times New Roman" w:eastAsia="仿宋_GB2312" w:cs="Times New Roman"/>
                      <w:color w:val="000000"/>
                      <w:kern w:val="0"/>
                      <w:sz w:val="21"/>
                      <w:szCs w:val="21"/>
                      <w:lang w:val="en-US" w:eastAsia="zh-CN" w:bidi="ar"/>
                    </w:rPr>
                    <w:t>③</w:t>
                  </w:r>
                  <w:r>
                    <w:rPr>
                      <w:rFonts w:hint="default" w:ascii="Times New Roman" w:hAnsi="Times New Roman" w:eastAsia="方正仿宋_GBK" w:cs="Times New Roman"/>
                      <w:color w:val="000000"/>
                      <w:kern w:val="0"/>
                      <w:sz w:val="21"/>
                      <w:szCs w:val="21"/>
                      <w:lang w:val="en-US" w:eastAsia="zh-CN" w:bidi="ar"/>
                    </w:rPr>
                    <w:t>区域内所有污水均须由规划的污水排放口排放，禁止在规划的污水排放口外设新的污水排放口；</w:t>
                  </w:r>
                  <w:r>
                    <w:rPr>
                      <w:rFonts w:hint="default" w:ascii="Times New Roman" w:hAnsi="Times New Roman" w:eastAsia="仿宋_GB2312" w:cs="Times New Roman"/>
                      <w:color w:val="000000"/>
                      <w:kern w:val="0"/>
                      <w:sz w:val="21"/>
                      <w:szCs w:val="21"/>
                      <w:lang w:val="en-US" w:eastAsia="zh-CN" w:bidi="ar"/>
                    </w:rPr>
                    <w:t>④</w:t>
                  </w:r>
                  <w:r>
                    <w:rPr>
                      <w:rFonts w:hint="default" w:ascii="Times New Roman" w:hAnsi="Times New Roman" w:eastAsia="方正仿宋_GBK" w:cs="Times New Roman"/>
                      <w:color w:val="000000"/>
                      <w:kern w:val="0"/>
                      <w:sz w:val="21"/>
                      <w:szCs w:val="21"/>
                      <w:lang w:val="en-US" w:eastAsia="zh-CN" w:bidi="ar"/>
                    </w:rPr>
                    <w:t>集中污水处理厂的排放污水实施监控，按水质水量收费。污水集中处理率</w:t>
                  </w:r>
                  <w:r>
                    <w:rPr>
                      <w:rFonts w:hint="default" w:ascii="Times New Roman" w:hAnsi="Times New Roman" w:eastAsia="宋体" w:cs="Times New Roman"/>
                      <w:color w:val="000000"/>
                      <w:kern w:val="0"/>
                      <w:sz w:val="21"/>
                      <w:szCs w:val="21"/>
                      <w:lang w:val="en-US" w:eastAsia="zh-CN" w:bidi="ar"/>
                    </w:rPr>
                    <w:t>80</w:t>
                  </w:r>
                  <w:r>
                    <w:rPr>
                      <w:rFonts w:hint="default" w:ascii="Times New Roman" w:hAnsi="Times New Roman" w:eastAsia="方正仿宋_GBK" w:cs="Times New Roman"/>
                      <w:color w:val="000000"/>
                      <w:kern w:val="0"/>
                      <w:sz w:val="21"/>
                      <w:szCs w:val="21"/>
                      <w:lang w:val="en-US" w:eastAsia="zh-CN" w:bidi="ar"/>
                    </w:rPr>
                    <w:t>％，污水处理率</w:t>
                  </w:r>
                  <w:r>
                    <w:rPr>
                      <w:rFonts w:hint="default" w:ascii="Times New Roman" w:hAnsi="Times New Roman" w:eastAsia="宋体" w:cs="Times New Roman"/>
                      <w:color w:val="000000"/>
                      <w:kern w:val="0"/>
                      <w:sz w:val="21"/>
                      <w:szCs w:val="21"/>
                      <w:lang w:val="en-US" w:eastAsia="zh-CN" w:bidi="ar"/>
                    </w:rPr>
                    <w:t>100</w:t>
                  </w:r>
                  <w:r>
                    <w:rPr>
                      <w:rFonts w:hint="default" w:ascii="Times New Roman" w:hAnsi="Times New Roman" w:eastAsia="方正仿宋_GBK" w:cs="Times New Roman"/>
                      <w:color w:val="000000"/>
                      <w:kern w:val="0"/>
                      <w:sz w:val="21"/>
                      <w:szCs w:val="21"/>
                      <w:lang w:val="en-US" w:eastAsia="zh-CN" w:bidi="ar"/>
                    </w:rPr>
                    <w:t>％，污水处理达标率</w:t>
                  </w:r>
                  <w:r>
                    <w:rPr>
                      <w:rFonts w:hint="default" w:ascii="Times New Roman" w:hAnsi="Times New Roman" w:eastAsia="宋体" w:cs="Times New Roman"/>
                      <w:color w:val="000000"/>
                      <w:kern w:val="0"/>
                      <w:sz w:val="21"/>
                      <w:szCs w:val="21"/>
                      <w:lang w:val="en-US" w:eastAsia="zh-CN" w:bidi="ar"/>
                    </w:rPr>
                    <w:t>100</w:t>
                  </w:r>
                  <w:r>
                    <w:rPr>
                      <w:rFonts w:hint="default" w:ascii="Times New Roman" w:hAnsi="Times New Roman" w:eastAsia="方正仿宋_GBK" w:cs="Times New Roman"/>
                      <w:color w:val="000000"/>
                      <w:kern w:val="0"/>
                      <w:sz w:val="21"/>
                      <w:szCs w:val="21"/>
                      <w:lang w:val="en-US" w:eastAsia="zh-CN" w:bidi="ar"/>
                    </w:rPr>
                    <w:t>％；</w:t>
                  </w:r>
                  <w:r>
                    <w:rPr>
                      <w:rFonts w:hint="default" w:ascii="Times New Roman" w:hAnsi="Times New Roman" w:eastAsia="仿宋_GB2312" w:cs="Times New Roman"/>
                      <w:color w:val="000000"/>
                      <w:kern w:val="0"/>
                      <w:sz w:val="21"/>
                      <w:szCs w:val="21"/>
                      <w:lang w:val="en-US" w:eastAsia="zh-CN" w:bidi="ar"/>
                    </w:rPr>
                    <w:t>⑤</w:t>
                  </w:r>
                  <w:r>
                    <w:rPr>
                      <w:rFonts w:hint="default" w:ascii="Times New Roman" w:hAnsi="Times New Roman" w:eastAsia="方正仿宋_GBK" w:cs="Times New Roman"/>
                      <w:color w:val="000000"/>
                      <w:kern w:val="0"/>
                      <w:sz w:val="21"/>
                      <w:szCs w:val="21"/>
                      <w:lang w:val="en-US" w:eastAsia="zh-CN" w:bidi="ar"/>
                    </w:rPr>
                    <w:t>对未达标区域新建、改建和扩建项目提出倍量置换要求，部分区域可实施限批；</w:t>
                  </w:r>
                  <w:r>
                    <w:rPr>
                      <w:rFonts w:hint="default" w:ascii="Times New Roman" w:hAnsi="Times New Roman" w:eastAsia="仿宋_GB2312" w:cs="Times New Roman"/>
                      <w:color w:val="000000"/>
                      <w:kern w:val="0"/>
                      <w:sz w:val="21"/>
                      <w:szCs w:val="21"/>
                      <w:lang w:val="en-US" w:eastAsia="zh-CN" w:bidi="ar"/>
                    </w:rPr>
                    <w:t>⑥</w:t>
                  </w:r>
                  <w:r>
                    <w:rPr>
                      <w:rFonts w:hint="default" w:ascii="Times New Roman" w:hAnsi="Times New Roman" w:eastAsia="方正仿宋_GBK" w:cs="Times New Roman"/>
                      <w:color w:val="000000"/>
                      <w:kern w:val="0"/>
                      <w:sz w:val="21"/>
                      <w:szCs w:val="21"/>
                      <w:lang w:val="en-US" w:eastAsia="zh-CN" w:bidi="ar"/>
                    </w:rPr>
                    <w:t>水环境工业污染重点管控区强化工业集聚区污染防治，加快推进工业集聚区（园区）污水集中处理设施建设，加强配套管网建设。推进生态园区建设和循环化改造，完善再生水回用系统，不断提高工业用水重复利用率。对污染排放不达标的企业责令停止超标排污，采取限期整改、停产治理等措施，确保全面稳定达标排放；</w:t>
                  </w:r>
                  <w:r>
                    <w:rPr>
                      <w:rFonts w:hint="default" w:ascii="Times New Roman" w:hAnsi="Times New Roman" w:eastAsia="仿宋_GB2312" w:cs="Times New Roman"/>
                      <w:color w:val="000000"/>
                      <w:kern w:val="0"/>
                      <w:sz w:val="21"/>
                      <w:szCs w:val="21"/>
                      <w:lang w:val="en-US" w:eastAsia="zh-CN" w:bidi="ar"/>
                    </w:rPr>
                    <w:t>⑦</w:t>
                  </w:r>
                  <w:r>
                    <w:rPr>
                      <w:rFonts w:hint="default" w:ascii="Times New Roman" w:hAnsi="Times New Roman" w:eastAsia="方正仿宋_GBK" w:cs="Times New Roman"/>
                      <w:color w:val="000000"/>
                      <w:kern w:val="0"/>
                      <w:sz w:val="21"/>
                      <w:szCs w:val="21"/>
                      <w:lang w:val="en-US" w:eastAsia="zh-CN" w:bidi="ar"/>
                    </w:rPr>
                    <w:t>实施工业污染源全面达标排放整治。推进新材料、新能源、化工等产业污水污染治理，建立企业废水特征污染物名录库；执行接管排放限值、严控进水水质，防止特征污染物对污水处理厂生化系统冲击；加强废水排放企业自行监测。</w:t>
                  </w:r>
                </w:p>
                <w:p w14:paraId="165510BC">
                  <w:pPr>
                    <w:keepNext w:val="0"/>
                    <w:keepLines w:val="0"/>
                    <w:widowControl/>
                    <w:suppressLineNumbers w:val="0"/>
                    <w:jc w:val="both"/>
                    <w:rPr>
                      <w:rFonts w:hint="default" w:ascii="Times New Roman" w:hAnsi="Times New Roman" w:cs="Times New Roman"/>
                      <w:sz w:val="21"/>
                      <w:szCs w:val="21"/>
                    </w:rPr>
                  </w:pPr>
                  <w:r>
                    <w:rPr>
                      <w:rFonts w:hint="default" w:ascii="Times New Roman" w:hAnsi="Times New Roman" w:eastAsia="方正仿宋_GBK"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2.3</w:t>
                  </w:r>
                  <w:r>
                    <w:rPr>
                      <w:rFonts w:hint="default" w:ascii="Times New Roman" w:hAnsi="Times New Roman" w:eastAsia="方正仿宋_GBK" w:cs="Times New Roman"/>
                      <w:color w:val="000000"/>
                      <w:kern w:val="0"/>
                      <w:sz w:val="21"/>
                      <w:szCs w:val="21"/>
                      <w:lang w:val="en-US" w:eastAsia="zh-CN" w:bidi="ar"/>
                    </w:rPr>
                    <w:t>）固体废弃物污染防治措施：</w:t>
                  </w:r>
                </w:p>
                <w:p w14:paraId="541643AF">
                  <w:pPr>
                    <w:keepNext w:val="0"/>
                    <w:keepLines w:val="0"/>
                    <w:widowControl/>
                    <w:suppressLineNumbers w:val="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仿宋_GB2312" w:cs="Times New Roman"/>
                      <w:color w:val="000000"/>
                      <w:kern w:val="0"/>
                      <w:sz w:val="21"/>
                      <w:szCs w:val="21"/>
                      <w:lang w:val="en-US" w:eastAsia="zh-CN" w:bidi="ar"/>
                    </w:rPr>
                    <w:t>①</w:t>
                  </w:r>
                  <w:r>
                    <w:rPr>
                      <w:rFonts w:hint="default" w:ascii="Times New Roman" w:hAnsi="Times New Roman" w:eastAsia="方正仿宋_GBK" w:cs="Times New Roman"/>
                      <w:color w:val="000000"/>
                      <w:kern w:val="0"/>
                      <w:sz w:val="21"/>
                      <w:szCs w:val="21"/>
                      <w:lang w:val="en-US" w:eastAsia="zh-CN" w:bidi="ar"/>
                    </w:rPr>
                    <w:t>实行危险废物有序转移制度，对危险废物进行无害化处理，并进行统一收集、集中控制，集中安全运送危险废物至处理中心进行处置；</w:t>
                  </w:r>
                  <w:r>
                    <w:rPr>
                      <w:rFonts w:hint="default" w:ascii="Times New Roman" w:hAnsi="Times New Roman" w:eastAsia="仿宋_GB2312" w:cs="Times New Roman"/>
                      <w:color w:val="000000"/>
                      <w:kern w:val="0"/>
                      <w:sz w:val="21"/>
                      <w:szCs w:val="21"/>
                      <w:lang w:val="en-US" w:eastAsia="zh-CN" w:bidi="ar"/>
                    </w:rPr>
                    <w:t>②</w:t>
                  </w:r>
                  <w:r>
                    <w:rPr>
                      <w:rFonts w:hint="default" w:ascii="Times New Roman" w:hAnsi="Times New Roman" w:eastAsia="方正仿宋_GBK" w:cs="Times New Roman"/>
                      <w:color w:val="000000"/>
                      <w:kern w:val="0"/>
                      <w:sz w:val="21"/>
                      <w:szCs w:val="21"/>
                      <w:lang w:val="en-US" w:eastAsia="zh-CN" w:bidi="ar"/>
                    </w:rPr>
                    <w:t>生活固废和工业固废分别收集分别处理；</w:t>
                  </w:r>
                  <w:r>
                    <w:rPr>
                      <w:rFonts w:hint="default" w:ascii="Times New Roman" w:hAnsi="Times New Roman" w:eastAsia="仿宋_GB2312" w:cs="Times New Roman"/>
                      <w:color w:val="000000"/>
                      <w:kern w:val="0"/>
                      <w:sz w:val="21"/>
                      <w:szCs w:val="21"/>
                      <w:lang w:val="en-US" w:eastAsia="zh-CN" w:bidi="ar"/>
                    </w:rPr>
                    <w:t>③</w:t>
                  </w:r>
                  <w:r>
                    <w:rPr>
                      <w:rFonts w:hint="default" w:ascii="Times New Roman" w:hAnsi="Times New Roman" w:eastAsia="方正仿宋_GBK" w:cs="Times New Roman"/>
                      <w:color w:val="000000"/>
                      <w:kern w:val="0"/>
                      <w:sz w:val="21"/>
                      <w:szCs w:val="21"/>
                      <w:lang w:val="en-US" w:eastAsia="zh-CN" w:bidi="ar"/>
                    </w:rPr>
                    <w:t>推广无废少废生产工艺，鼓励工业固废综合利用，减少废物产生量；</w:t>
                  </w:r>
                  <w:r>
                    <w:rPr>
                      <w:rFonts w:hint="default" w:ascii="Times New Roman" w:hAnsi="Times New Roman" w:eastAsia="仿宋_GB2312" w:cs="Times New Roman"/>
                      <w:color w:val="000000"/>
                      <w:kern w:val="0"/>
                      <w:sz w:val="21"/>
                      <w:szCs w:val="21"/>
                      <w:lang w:val="en-US" w:eastAsia="zh-CN" w:bidi="ar"/>
                    </w:rPr>
                    <w:t>④</w:t>
                  </w:r>
                  <w:r>
                    <w:rPr>
                      <w:rFonts w:hint="default" w:ascii="Times New Roman" w:hAnsi="Times New Roman" w:eastAsia="方正仿宋_GBK" w:cs="Times New Roman"/>
                      <w:color w:val="000000"/>
                      <w:kern w:val="0"/>
                      <w:sz w:val="21"/>
                      <w:szCs w:val="21"/>
                      <w:lang w:val="en-US" w:eastAsia="zh-CN" w:bidi="ar"/>
                    </w:rPr>
                    <w:t>危险废物和化工残液（渣）回收利用与集中处理；</w:t>
                  </w:r>
                  <w:r>
                    <w:rPr>
                      <w:rFonts w:hint="default" w:ascii="Times New Roman" w:hAnsi="Times New Roman" w:eastAsia="仿宋_GB2312" w:cs="Times New Roman"/>
                      <w:color w:val="000000"/>
                      <w:kern w:val="0"/>
                      <w:sz w:val="21"/>
                      <w:szCs w:val="21"/>
                      <w:lang w:val="en-US" w:eastAsia="zh-CN" w:bidi="ar"/>
                    </w:rPr>
                    <w:t>⑤</w:t>
                  </w:r>
                  <w:r>
                    <w:rPr>
                      <w:rFonts w:hint="default" w:ascii="Times New Roman" w:hAnsi="Times New Roman" w:eastAsia="方正仿宋_GBK" w:cs="Times New Roman"/>
                      <w:color w:val="000000"/>
                      <w:kern w:val="0"/>
                      <w:sz w:val="21"/>
                      <w:szCs w:val="21"/>
                      <w:lang w:val="en-US" w:eastAsia="zh-CN" w:bidi="ar"/>
                    </w:rPr>
                    <w:t>定期更换的废催化剂，根据实际生产情况进行回收利用，不能回收利用的按照固废属性合规处置。（</w:t>
                  </w:r>
                  <w:r>
                    <w:rPr>
                      <w:rFonts w:hint="default" w:ascii="Times New Roman" w:hAnsi="Times New Roman" w:eastAsia="宋体" w:cs="Times New Roman"/>
                      <w:color w:val="000000"/>
                      <w:kern w:val="0"/>
                      <w:sz w:val="21"/>
                      <w:szCs w:val="21"/>
                      <w:lang w:val="en-US" w:eastAsia="zh-CN" w:bidi="ar"/>
                    </w:rPr>
                    <w:t>2.4</w:t>
                  </w:r>
                  <w:r>
                    <w:rPr>
                      <w:rFonts w:hint="default" w:ascii="Times New Roman" w:hAnsi="Times New Roman" w:eastAsia="方正仿宋_GBK" w:cs="Times New Roman"/>
                      <w:color w:val="000000"/>
                      <w:kern w:val="0"/>
                      <w:sz w:val="21"/>
                      <w:szCs w:val="21"/>
                      <w:lang w:val="en-US" w:eastAsia="zh-CN" w:bidi="ar"/>
                    </w:rPr>
                    <w:t>）噪声污染防治措施：</w:t>
                  </w:r>
                  <w:r>
                    <w:rPr>
                      <w:rFonts w:hint="default" w:ascii="Times New Roman" w:hAnsi="Times New Roman" w:eastAsia="仿宋_GB2312" w:cs="Times New Roman"/>
                      <w:color w:val="000000"/>
                      <w:kern w:val="0"/>
                      <w:sz w:val="21"/>
                      <w:szCs w:val="21"/>
                      <w:lang w:val="en-US" w:eastAsia="zh-CN" w:bidi="ar"/>
                    </w:rPr>
                    <w:t>①</w:t>
                  </w:r>
                  <w:r>
                    <w:rPr>
                      <w:rFonts w:hint="default" w:ascii="Times New Roman" w:hAnsi="Times New Roman" w:eastAsia="方正仿宋_GBK" w:cs="Times New Roman"/>
                      <w:color w:val="000000"/>
                      <w:kern w:val="0"/>
                      <w:sz w:val="21"/>
                      <w:szCs w:val="21"/>
                      <w:lang w:val="en-US" w:eastAsia="zh-CN" w:bidi="ar"/>
                    </w:rPr>
                    <w:t>选购低噪声设备，根据设备情况，采取降噪措施；</w:t>
                  </w:r>
                  <w:r>
                    <w:rPr>
                      <w:rFonts w:hint="default" w:ascii="Times New Roman" w:hAnsi="Times New Roman" w:eastAsia="仿宋_GB2312" w:cs="Times New Roman"/>
                      <w:color w:val="000000"/>
                      <w:kern w:val="0"/>
                      <w:sz w:val="21"/>
                      <w:szCs w:val="21"/>
                      <w:lang w:val="en-US" w:eastAsia="zh-CN" w:bidi="ar"/>
                    </w:rPr>
                    <w:t>②</w:t>
                  </w:r>
                  <w:r>
                    <w:rPr>
                      <w:rFonts w:hint="default" w:ascii="Times New Roman" w:hAnsi="Times New Roman" w:eastAsia="方正仿宋_GBK" w:cs="Times New Roman"/>
                      <w:color w:val="000000"/>
                      <w:kern w:val="0"/>
                      <w:sz w:val="21"/>
                      <w:szCs w:val="21"/>
                      <w:lang w:val="en-US" w:eastAsia="zh-CN" w:bidi="ar"/>
                    </w:rPr>
                    <w:t>对生产噪声的设备设计、安装隔噪设施。（</w:t>
                  </w:r>
                  <w:r>
                    <w:rPr>
                      <w:rFonts w:hint="default" w:ascii="Times New Roman" w:hAnsi="Times New Roman" w:eastAsia="宋体" w:cs="Times New Roman"/>
                      <w:color w:val="000000"/>
                      <w:kern w:val="0"/>
                      <w:sz w:val="21"/>
                      <w:szCs w:val="21"/>
                      <w:lang w:val="en-US" w:eastAsia="zh-CN" w:bidi="ar"/>
                    </w:rPr>
                    <w:t>2.5</w:t>
                  </w:r>
                  <w:r>
                    <w:rPr>
                      <w:rFonts w:hint="default" w:ascii="Times New Roman" w:hAnsi="Times New Roman" w:eastAsia="方正仿宋_GBK" w:cs="Times New Roman"/>
                      <w:color w:val="000000"/>
                      <w:kern w:val="0"/>
                      <w:sz w:val="21"/>
                      <w:szCs w:val="21"/>
                      <w:lang w:val="en-US" w:eastAsia="zh-CN" w:bidi="ar"/>
                    </w:rPr>
                    <w:t>）完善园区污水处理、固废集中处置（理）集中供热等。规划、设计和建设园区排水系统、废（污）水处理系统和再生水回用系统，制定切实可行的一般固体废弃物综合利用方案，配套建设工业固废处置场；严格按照国家有关规定进行危险废物贮存、处置和处理。（</w:t>
                  </w:r>
                  <w:r>
                    <w:rPr>
                      <w:rFonts w:hint="default" w:ascii="Times New Roman" w:hAnsi="Times New Roman" w:eastAsia="宋体" w:cs="Times New Roman"/>
                      <w:color w:val="000000"/>
                      <w:kern w:val="0"/>
                      <w:sz w:val="21"/>
                      <w:szCs w:val="21"/>
                      <w:lang w:val="en-US" w:eastAsia="zh-CN" w:bidi="ar"/>
                    </w:rPr>
                    <w:t>2.6</w:t>
                  </w:r>
                  <w:r>
                    <w:rPr>
                      <w:rFonts w:hint="default" w:ascii="Times New Roman" w:hAnsi="Times New Roman" w:eastAsia="方正仿宋_GBK" w:cs="Times New Roman"/>
                      <w:color w:val="000000"/>
                      <w:kern w:val="0"/>
                      <w:sz w:val="21"/>
                      <w:szCs w:val="21"/>
                      <w:lang w:val="en-US" w:eastAsia="zh-CN" w:bidi="ar"/>
                    </w:rPr>
                    <w:t>）热电联产供热不到的建筑采用清洁能源进行供热。</w:t>
                  </w:r>
                </w:p>
              </w:tc>
              <w:tc>
                <w:tcPr>
                  <w:tcW w:w="734" w:type="pct"/>
                  <w:noWrap w:val="0"/>
                  <w:vAlign w:val="center"/>
                </w:tcPr>
                <w:p w14:paraId="396A9F47">
                  <w:pPr>
                    <w:keepNext w:val="0"/>
                    <w:keepLines w:val="0"/>
                    <w:pageBreakBefore w:val="0"/>
                    <w:widowControl w:val="0"/>
                    <w:suppressLineNumbers w:val="0"/>
                    <w:wordWrap/>
                    <w:topLinePunct w:val="0"/>
                    <w:bidi w:val="0"/>
                    <w:spacing w:line="240" w:lineRule="auto"/>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spacing w:val="0"/>
                      <w:kern w:val="2"/>
                      <w:sz w:val="21"/>
                      <w:szCs w:val="21"/>
                      <w:lang w:val="en-US" w:eastAsia="zh-CN"/>
                    </w:rPr>
                    <w:t>本项目运行期无废气产生，生活污水进入园区污水处理厂处理，噪声满足达标排放，固体废物均能得到妥善处置。</w:t>
                  </w:r>
                </w:p>
              </w:tc>
              <w:tc>
                <w:tcPr>
                  <w:tcW w:w="314" w:type="pct"/>
                  <w:noWrap w:val="0"/>
                  <w:vAlign w:val="center"/>
                </w:tcPr>
                <w:p w14:paraId="5C02B086">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5B0DB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2" w:hRule="atLeast"/>
                <w:jc w:val="center"/>
              </w:trPr>
              <w:tc>
                <w:tcPr>
                  <w:tcW w:w="217" w:type="pct"/>
                  <w:vMerge w:val="continue"/>
                  <w:noWrap w:val="0"/>
                  <w:vAlign w:val="center"/>
                </w:tcPr>
                <w:p w14:paraId="6C210379">
                  <w:pPr>
                    <w:keepNext w:val="0"/>
                    <w:keepLines w:val="0"/>
                    <w:pageBreakBefore w:val="0"/>
                    <w:widowControl w:val="0"/>
                    <w:wordWrap/>
                    <w:topLinePunct w:val="0"/>
                    <w:bidi w:val="0"/>
                    <w:adjustRightInd w:val="0"/>
                    <w:snapToGrid w:val="0"/>
                    <w:spacing w:line="240" w:lineRule="auto"/>
                    <w:jc w:val="both"/>
                    <w:rPr>
                      <w:rFonts w:hint="default" w:ascii="Times New Roman" w:hAnsi="Times New Roman" w:eastAsia="宋体" w:cs="Times New Roman"/>
                      <w:color w:val="auto"/>
                      <w:sz w:val="21"/>
                      <w:szCs w:val="21"/>
                      <w:highlight w:val="none"/>
                      <w:lang w:val="en-US" w:eastAsia="zh-CN"/>
                    </w:rPr>
                  </w:pPr>
                </w:p>
              </w:tc>
              <w:tc>
                <w:tcPr>
                  <w:tcW w:w="341" w:type="pct"/>
                  <w:vMerge w:val="continue"/>
                  <w:noWrap w:val="0"/>
                  <w:vAlign w:val="center"/>
                </w:tcPr>
                <w:p w14:paraId="6D60F952">
                  <w:pPr>
                    <w:keepNext w:val="0"/>
                    <w:keepLines w:val="0"/>
                    <w:pageBreakBefore w:val="0"/>
                    <w:widowControl w:val="0"/>
                    <w:wordWrap/>
                    <w:topLinePunct w:val="0"/>
                    <w:bidi w:val="0"/>
                    <w:adjustRightInd w:val="0"/>
                    <w:snapToGrid w:val="0"/>
                    <w:spacing w:line="240" w:lineRule="auto"/>
                    <w:jc w:val="both"/>
                    <w:rPr>
                      <w:rFonts w:hint="default" w:ascii="Times New Roman" w:hAnsi="Times New Roman" w:eastAsia="宋体" w:cs="Times New Roman"/>
                      <w:color w:val="auto"/>
                      <w:sz w:val="21"/>
                      <w:szCs w:val="21"/>
                      <w:highlight w:val="none"/>
                      <w:lang w:val="en-US" w:eastAsia="zh-CN"/>
                    </w:rPr>
                  </w:pPr>
                </w:p>
              </w:tc>
              <w:tc>
                <w:tcPr>
                  <w:tcW w:w="258" w:type="pct"/>
                  <w:vMerge w:val="continue"/>
                  <w:noWrap w:val="0"/>
                  <w:vAlign w:val="center"/>
                </w:tcPr>
                <w:p w14:paraId="1A437D42">
                  <w:pPr>
                    <w:keepNext w:val="0"/>
                    <w:keepLines w:val="0"/>
                    <w:pageBreakBefore w:val="0"/>
                    <w:widowControl w:val="0"/>
                    <w:wordWrap/>
                    <w:topLinePunct w:val="0"/>
                    <w:bidi w:val="0"/>
                    <w:adjustRightInd w:val="0"/>
                    <w:snapToGrid w:val="0"/>
                    <w:spacing w:line="240" w:lineRule="auto"/>
                    <w:jc w:val="both"/>
                    <w:rPr>
                      <w:rFonts w:hint="default" w:ascii="Times New Roman" w:hAnsi="Times New Roman" w:eastAsia="宋体" w:cs="Times New Roman"/>
                      <w:color w:val="auto"/>
                      <w:sz w:val="21"/>
                      <w:szCs w:val="21"/>
                      <w:highlight w:val="none"/>
                      <w:lang w:val="en-US" w:eastAsia="zh-CN"/>
                    </w:rPr>
                  </w:pPr>
                </w:p>
              </w:tc>
              <w:tc>
                <w:tcPr>
                  <w:tcW w:w="248" w:type="pct"/>
                  <w:noWrap w:val="0"/>
                  <w:vAlign w:val="center"/>
                </w:tcPr>
                <w:p w14:paraId="26A4CBB6">
                  <w:pPr>
                    <w:keepNext w:val="0"/>
                    <w:keepLines w:val="0"/>
                    <w:pageBreakBefore w:val="0"/>
                    <w:widowControl w:val="0"/>
                    <w:wordWrap/>
                    <w:topLinePunct w:val="0"/>
                    <w:bidi w:val="0"/>
                    <w:adjustRightInd w:val="0"/>
                    <w:snapToGrid w:val="0"/>
                    <w:spacing w:line="240" w:lineRule="auto"/>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环境风险防控</w:t>
                  </w:r>
                </w:p>
              </w:tc>
              <w:tc>
                <w:tcPr>
                  <w:tcW w:w="2885" w:type="pct"/>
                  <w:noWrap w:val="0"/>
                  <w:vAlign w:val="center"/>
                </w:tcPr>
                <w:p w14:paraId="04A2DEAA">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1</w:t>
                  </w:r>
                  <w:r>
                    <w:rPr>
                      <w:rFonts w:hint="default" w:ascii="Times New Roman" w:hAnsi="Times New Roman" w:eastAsia="方正仿宋_GBK" w:cs="Times New Roman"/>
                      <w:color w:val="000000"/>
                      <w:kern w:val="0"/>
                      <w:sz w:val="21"/>
                      <w:szCs w:val="21"/>
                      <w:lang w:val="en-US" w:eastAsia="zh-CN" w:bidi="ar"/>
                    </w:rPr>
                    <w:t>．甘泉堡经济技术开发区区域内执行以下管控要求：（</w:t>
                  </w:r>
                  <w:r>
                    <w:rPr>
                      <w:rFonts w:hint="default" w:ascii="Times New Roman" w:hAnsi="Times New Roman" w:eastAsia="宋体" w:cs="Times New Roman"/>
                      <w:color w:val="000000"/>
                      <w:kern w:val="0"/>
                      <w:sz w:val="21"/>
                      <w:szCs w:val="21"/>
                      <w:lang w:val="en-US" w:eastAsia="zh-CN" w:bidi="ar"/>
                    </w:rPr>
                    <w:t>3.1</w:t>
                  </w:r>
                  <w:r>
                    <w:rPr>
                      <w:rFonts w:hint="default" w:ascii="Times New Roman" w:hAnsi="Times New Roman" w:eastAsia="方正仿宋_GBK" w:cs="Times New Roman"/>
                      <w:color w:val="000000"/>
                      <w:kern w:val="0"/>
                      <w:sz w:val="21"/>
                      <w:szCs w:val="21"/>
                      <w:lang w:val="en-US" w:eastAsia="zh-CN" w:bidi="ar"/>
                    </w:rPr>
                    <w:t>）推进风险源全过程管理。加强化学品生产、使用、储运等风险监管与防范，完善并落实危险化学品环境管理制度和企业环境风险分级管理制度。</w:t>
                  </w:r>
                </w:p>
                <w:p w14:paraId="09B12B76">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方正仿宋_GBK" w:cs="Times New Roman"/>
                      <w:color w:val="000000"/>
                      <w:kern w:val="0"/>
                      <w:sz w:val="21"/>
                      <w:szCs w:val="21"/>
                      <w:lang w:val="en-US" w:eastAsia="zh-CN" w:bidi="ar"/>
                    </w:rPr>
                    <w:t>加强危险废物产生和经营单位的规范化管理，严格实施危险废物经营许可证制度，动态调整经营单位名录。加强涉重金属排放行业管理，强化重金属污染防治、事故应急、环境与健康风险评估制度。</w:t>
                  </w:r>
                </w:p>
                <w:p w14:paraId="788D9E09">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2</w:t>
                  </w:r>
                  <w:r>
                    <w:rPr>
                      <w:rFonts w:hint="default" w:ascii="Times New Roman" w:hAnsi="Times New Roman" w:eastAsia="方正仿宋_GBK" w:cs="Times New Roman"/>
                      <w:color w:val="000000"/>
                      <w:kern w:val="0"/>
                      <w:sz w:val="21"/>
                      <w:szCs w:val="21"/>
                      <w:lang w:val="en-US" w:eastAsia="zh-CN" w:bidi="ar"/>
                    </w:rPr>
                    <w:t>．大气环境高排放重点管控区区域内执行以下管控要求：（</w:t>
                  </w:r>
                  <w:r>
                    <w:rPr>
                      <w:rFonts w:hint="default" w:ascii="Times New Roman" w:hAnsi="Times New Roman" w:eastAsia="宋体" w:cs="Times New Roman"/>
                      <w:color w:val="000000"/>
                      <w:kern w:val="0"/>
                      <w:sz w:val="21"/>
                      <w:szCs w:val="21"/>
                      <w:lang w:val="en-US" w:eastAsia="zh-CN" w:bidi="ar"/>
                    </w:rPr>
                    <w:t>3.2</w:t>
                  </w:r>
                  <w:r>
                    <w:rPr>
                      <w:rFonts w:hint="default" w:ascii="Times New Roman" w:hAnsi="Times New Roman" w:eastAsia="方正仿宋_GBK" w:cs="Times New Roman"/>
                      <w:color w:val="000000"/>
                      <w:kern w:val="0"/>
                      <w:sz w:val="21"/>
                      <w:szCs w:val="21"/>
                      <w:lang w:val="en-US" w:eastAsia="zh-CN" w:bidi="ar"/>
                    </w:rPr>
                    <w:t>）鼓励开展有毒有害气体环境风险预警体系建设。</w:t>
                  </w:r>
                </w:p>
                <w:p w14:paraId="23FB2A51">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3</w:t>
                  </w:r>
                  <w:r>
                    <w:rPr>
                      <w:rFonts w:hint="default" w:ascii="Times New Roman" w:hAnsi="Times New Roman" w:eastAsia="方正仿宋_GBK" w:cs="Times New Roman"/>
                      <w:color w:val="000000"/>
                      <w:kern w:val="0"/>
                      <w:sz w:val="21"/>
                      <w:szCs w:val="21"/>
                      <w:lang w:val="en-US" w:eastAsia="zh-CN" w:bidi="ar"/>
                    </w:rPr>
                    <w:t>．建设用地污染重点管控区区域内执行以下管控要求：</w:t>
                  </w:r>
                </w:p>
                <w:p w14:paraId="541BC072">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方正仿宋_GBK"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3.3</w:t>
                  </w:r>
                  <w:r>
                    <w:rPr>
                      <w:rFonts w:hint="default" w:ascii="Times New Roman" w:hAnsi="Times New Roman" w:eastAsia="方正仿宋_GBK" w:cs="Times New Roman"/>
                      <w:color w:val="000000"/>
                      <w:kern w:val="0"/>
                      <w:sz w:val="21"/>
                      <w:szCs w:val="21"/>
                      <w:lang w:val="en-US" w:eastAsia="zh-CN" w:bidi="ar"/>
                    </w:rPr>
                    <w:t>）执行高风险地块环境风险防控相关要求。</w:t>
                  </w:r>
                </w:p>
                <w:p w14:paraId="278D1771">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方正仿宋_GBK"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3.4</w:t>
                  </w:r>
                  <w:r>
                    <w:rPr>
                      <w:rFonts w:hint="default" w:ascii="Times New Roman" w:hAnsi="Times New Roman" w:eastAsia="方正仿宋_GBK" w:cs="Times New Roman"/>
                      <w:color w:val="000000"/>
                      <w:kern w:val="0"/>
                      <w:sz w:val="21"/>
                      <w:szCs w:val="21"/>
                      <w:lang w:val="en-US" w:eastAsia="zh-CN" w:bidi="ar"/>
                    </w:rPr>
                    <w:t>）高风险地块提高关注度，企业加强土壤环境监管，如果停产应被列为疑似污染地块进行管理。</w:t>
                  </w:r>
                </w:p>
                <w:p w14:paraId="6ABC4D41">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方正仿宋_GBK"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3.5</w:t>
                  </w:r>
                  <w:r>
                    <w:rPr>
                      <w:rFonts w:hint="default" w:ascii="Times New Roman" w:hAnsi="Times New Roman" w:eastAsia="方正仿宋_GBK" w:cs="Times New Roman"/>
                      <w:color w:val="000000"/>
                      <w:kern w:val="0"/>
                      <w:sz w:val="21"/>
                      <w:szCs w:val="21"/>
                      <w:lang w:val="en-US" w:eastAsia="zh-CN" w:bidi="ar"/>
                    </w:rPr>
                    <w:t>）防范建设用地新增污染。严格建设用地准入管理，实施分类别、分用途、分阶段管理，防范建设项目新增污染，形成政府主导、企业担责、公众参与、社会监督的土壤污染防治体系，促进土壤资源永续利用。</w:t>
                  </w:r>
                </w:p>
                <w:p w14:paraId="259E6C6E">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方正仿宋_GBK"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3.6</w:t>
                  </w:r>
                  <w:r>
                    <w:rPr>
                      <w:rFonts w:hint="default" w:ascii="Times New Roman" w:hAnsi="Times New Roman" w:eastAsia="方正仿宋_GBK" w:cs="Times New Roman"/>
                      <w:color w:val="000000"/>
                      <w:kern w:val="0"/>
                      <w:sz w:val="21"/>
                      <w:szCs w:val="21"/>
                      <w:lang w:val="en-US" w:eastAsia="zh-CN" w:bidi="ar"/>
                    </w:rPr>
                    <w:t>）土壤重点排污单位应定期对重点区域、重点设施开展隐患排查。发现污染隐患的，应当制定整改方案，及时采取技术、管理措施消除隐患。采取措施防止新增污染，并参照污染地块土壤环境管理有关规定及时开展土壤和地下水环境调查与风险评估，根据调查与风险评估结果采取风险管控或者治理与修复等措施。</w:t>
                  </w:r>
                </w:p>
                <w:p w14:paraId="1F8144D9">
                  <w:pPr>
                    <w:keepNext w:val="0"/>
                    <w:keepLines w:val="0"/>
                    <w:widowControl/>
                    <w:suppressLineNumbers w:val="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方正仿宋_GBK"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3.7</w:t>
                  </w:r>
                  <w:r>
                    <w:rPr>
                      <w:rFonts w:hint="default" w:ascii="Times New Roman" w:hAnsi="Times New Roman" w:eastAsia="方正仿宋_GBK" w:cs="Times New Roman"/>
                      <w:color w:val="000000"/>
                      <w:kern w:val="0"/>
                      <w:sz w:val="21"/>
                      <w:szCs w:val="21"/>
                      <w:lang w:val="en-US" w:eastAsia="zh-CN" w:bidi="ar"/>
                    </w:rPr>
                    <w:t>）土壤污染重点管控园区引入企业时，应充分考虑行业特点、特征污染物排放以及区域环境的状况，避免形成累积污染和叠加影响，严控不符合产业园区总体规划项目入园。加强入园企业风险管理，生产、使用、贮存、运输、回收、处置、排放有毒有害物质的单位应当采取有效措施，防止有毒有害物质渗漏、流失、扬散，避免土壤受到污染；入园企业应按规范强化地下水分区防渗等措施。园区及企业应按相关规范编制突发环境事件应急预案，建立完善突发环境事件应急响应机制。</w:t>
                  </w:r>
                </w:p>
              </w:tc>
              <w:tc>
                <w:tcPr>
                  <w:tcW w:w="734" w:type="pct"/>
                  <w:noWrap w:val="0"/>
                  <w:vAlign w:val="center"/>
                </w:tcPr>
                <w:p w14:paraId="7995237B">
                  <w:pPr>
                    <w:keepNext w:val="0"/>
                    <w:keepLines w:val="0"/>
                    <w:pageBreakBefore w:val="0"/>
                    <w:widowControl w:val="0"/>
                    <w:suppressLineNumbers w:val="0"/>
                    <w:wordWrap/>
                    <w:topLinePunct w:val="0"/>
                    <w:bidi w:val="0"/>
                    <w:spacing w:line="240" w:lineRule="auto"/>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本项目</w:t>
                  </w:r>
                  <w:r>
                    <w:rPr>
                      <w:rFonts w:hint="eastAsia" w:ascii="Times New Roman" w:hAnsi="Times New Roman" w:eastAsia="宋体" w:cs="Times New Roman"/>
                      <w:color w:val="auto"/>
                      <w:sz w:val="21"/>
                      <w:szCs w:val="21"/>
                      <w:highlight w:val="none"/>
                      <w:lang w:val="en-US" w:eastAsia="zh-CN"/>
                    </w:rPr>
                    <w:t>只要严格落实</w:t>
                  </w:r>
                  <w:r>
                    <w:rPr>
                      <w:rFonts w:hint="default" w:ascii="Times New Roman" w:hAnsi="Times New Roman" w:eastAsia="宋体" w:cs="Times New Roman"/>
                      <w:color w:val="auto"/>
                      <w:sz w:val="21"/>
                      <w:szCs w:val="21"/>
                      <w:highlight w:val="none"/>
                      <w:lang w:val="en-US" w:eastAsia="zh-CN"/>
                    </w:rPr>
                    <w:t>环境风险防范措施，加强运营期的管理，本项目环境风险可接受</w:t>
                  </w:r>
                </w:p>
              </w:tc>
              <w:tc>
                <w:tcPr>
                  <w:tcW w:w="314" w:type="pct"/>
                  <w:noWrap w:val="0"/>
                  <w:vAlign w:val="center"/>
                </w:tcPr>
                <w:p w14:paraId="7D8953B2">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0ECC0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7" w:type="pct"/>
                  <w:vMerge w:val="continue"/>
                  <w:noWrap w:val="0"/>
                  <w:vAlign w:val="center"/>
                </w:tcPr>
                <w:p w14:paraId="4EFC6B34">
                  <w:pPr>
                    <w:keepNext w:val="0"/>
                    <w:keepLines w:val="0"/>
                    <w:pageBreakBefore w:val="0"/>
                    <w:widowControl w:val="0"/>
                    <w:wordWrap/>
                    <w:topLinePunct w:val="0"/>
                    <w:bidi w:val="0"/>
                    <w:adjustRightInd w:val="0"/>
                    <w:snapToGrid w:val="0"/>
                    <w:spacing w:line="240" w:lineRule="auto"/>
                    <w:jc w:val="both"/>
                    <w:rPr>
                      <w:rFonts w:hint="default" w:ascii="Times New Roman" w:hAnsi="Times New Roman" w:eastAsia="宋体" w:cs="Times New Roman"/>
                      <w:color w:val="auto"/>
                      <w:sz w:val="21"/>
                      <w:szCs w:val="21"/>
                      <w:highlight w:val="none"/>
                      <w:lang w:val="en-US" w:eastAsia="zh-CN"/>
                    </w:rPr>
                  </w:pPr>
                </w:p>
              </w:tc>
              <w:tc>
                <w:tcPr>
                  <w:tcW w:w="341" w:type="pct"/>
                  <w:vMerge w:val="continue"/>
                  <w:noWrap w:val="0"/>
                  <w:vAlign w:val="center"/>
                </w:tcPr>
                <w:p w14:paraId="2010D70D">
                  <w:pPr>
                    <w:keepNext w:val="0"/>
                    <w:keepLines w:val="0"/>
                    <w:pageBreakBefore w:val="0"/>
                    <w:widowControl w:val="0"/>
                    <w:wordWrap/>
                    <w:topLinePunct w:val="0"/>
                    <w:bidi w:val="0"/>
                    <w:adjustRightInd w:val="0"/>
                    <w:snapToGrid w:val="0"/>
                    <w:spacing w:line="240" w:lineRule="auto"/>
                    <w:jc w:val="both"/>
                    <w:rPr>
                      <w:rFonts w:hint="default" w:ascii="Times New Roman" w:hAnsi="Times New Roman" w:eastAsia="宋体" w:cs="Times New Roman"/>
                      <w:color w:val="auto"/>
                      <w:sz w:val="21"/>
                      <w:szCs w:val="21"/>
                      <w:highlight w:val="none"/>
                      <w:lang w:val="en-US" w:eastAsia="zh-CN"/>
                    </w:rPr>
                  </w:pPr>
                </w:p>
              </w:tc>
              <w:tc>
                <w:tcPr>
                  <w:tcW w:w="258" w:type="pct"/>
                  <w:vMerge w:val="continue"/>
                  <w:noWrap w:val="0"/>
                  <w:vAlign w:val="center"/>
                </w:tcPr>
                <w:p w14:paraId="3C3F93DF">
                  <w:pPr>
                    <w:keepNext w:val="0"/>
                    <w:keepLines w:val="0"/>
                    <w:pageBreakBefore w:val="0"/>
                    <w:widowControl w:val="0"/>
                    <w:wordWrap/>
                    <w:topLinePunct w:val="0"/>
                    <w:bidi w:val="0"/>
                    <w:adjustRightInd w:val="0"/>
                    <w:snapToGrid w:val="0"/>
                    <w:spacing w:line="240" w:lineRule="auto"/>
                    <w:jc w:val="both"/>
                    <w:rPr>
                      <w:rFonts w:hint="default" w:ascii="Times New Roman" w:hAnsi="Times New Roman" w:eastAsia="宋体" w:cs="Times New Roman"/>
                      <w:color w:val="auto"/>
                      <w:sz w:val="21"/>
                      <w:szCs w:val="21"/>
                      <w:highlight w:val="none"/>
                      <w:lang w:val="en-US" w:eastAsia="zh-CN"/>
                    </w:rPr>
                  </w:pPr>
                </w:p>
              </w:tc>
              <w:tc>
                <w:tcPr>
                  <w:tcW w:w="248" w:type="pct"/>
                  <w:noWrap w:val="0"/>
                  <w:vAlign w:val="center"/>
                </w:tcPr>
                <w:p w14:paraId="296A9494">
                  <w:pPr>
                    <w:keepNext w:val="0"/>
                    <w:keepLines w:val="0"/>
                    <w:pageBreakBefore w:val="0"/>
                    <w:widowControl w:val="0"/>
                    <w:wordWrap/>
                    <w:topLinePunct w:val="0"/>
                    <w:bidi w:val="0"/>
                    <w:adjustRightInd w:val="0"/>
                    <w:snapToGrid w:val="0"/>
                    <w:spacing w:line="240" w:lineRule="auto"/>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资源利用效率</w:t>
                  </w:r>
                </w:p>
              </w:tc>
              <w:tc>
                <w:tcPr>
                  <w:tcW w:w="2885" w:type="pct"/>
                  <w:noWrap w:val="0"/>
                  <w:vAlign w:val="center"/>
                </w:tcPr>
                <w:p w14:paraId="08B9F714">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1</w:t>
                  </w:r>
                  <w:r>
                    <w:rPr>
                      <w:rFonts w:hint="default" w:ascii="Times New Roman" w:hAnsi="Times New Roman" w:eastAsia="方正仿宋_GBK" w:cs="Times New Roman"/>
                      <w:color w:val="000000"/>
                      <w:kern w:val="0"/>
                      <w:sz w:val="21"/>
                      <w:szCs w:val="21"/>
                      <w:lang w:val="en-US" w:eastAsia="zh-CN" w:bidi="ar"/>
                    </w:rPr>
                    <w:t>．甘泉堡经济技术开发区区域内执行以下管控要求：</w:t>
                  </w:r>
                </w:p>
                <w:p w14:paraId="13C3B8D2">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方正仿宋_GBK"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4.1</w:t>
                  </w:r>
                  <w:r>
                    <w:rPr>
                      <w:rFonts w:hint="default" w:ascii="Times New Roman" w:hAnsi="Times New Roman" w:eastAsia="方正仿宋_GBK" w:cs="Times New Roman"/>
                      <w:color w:val="000000"/>
                      <w:kern w:val="0"/>
                      <w:sz w:val="21"/>
                      <w:szCs w:val="21"/>
                      <w:lang w:val="en-US" w:eastAsia="zh-CN" w:bidi="ar"/>
                    </w:rPr>
                    <w:t>）实施煤炭消费总量控制。</w:t>
                  </w:r>
                </w:p>
                <w:p w14:paraId="3B4B6A9D">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方正仿宋_GBK"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4.2</w:t>
                  </w:r>
                  <w:r>
                    <w:rPr>
                      <w:rFonts w:hint="default" w:ascii="Times New Roman" w:hAnsi="Times New Roman" w:eastAsia="方正仿宋_GBK" w:cs="Times New Roman"/>
                      <w:color w:val="000000"/>
                      <w:kern w:val="0"/>
                      <w:sz w:val="21"/>
                      <w:szCs w:val="21"/>
                      <w:lang w:val="en-US" w:eastAsia="zh-CN" w:bidi="ar"/>
                    </w:rPr>
                    <w:t>）实施清洁生产，提高资源综合利用水平。引进项目的生产工艺、设备、污染治理技术，以及单位产品能耗、物耗、污染物排放和资源利用率均应达到同行业国际国内先进水平。</w:t>
                  </w:r>
                </w:p>
                <w:p w14:paraId="63629F10">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方正仿宋_GBK"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4.3</w:t>
                  </w:r>
                  <w:r>
                    <w:rPr>
                      <w:rFonts w:hint="default" w:ascii="Times New Roman" w:hAnsi="Times New Roman" w:eastAsia="方正仿宋_GBK" w:cs="Times New Roman"/>
                      <w:color w:val="000000"/>
                      <w:kern w:val="0"/>
                      <w:sz w:val="21"/>
                      <w:szCs w:val="21"/>
                      <w:lang w:val="en-US" w:eastAsia="zh-CN" w:bidi="ar"/>
                    </w:rPr>
                    <w:t>）在园区间、产业间、企业间、装置间形成“原料-产品废弃物-再生原料”的循环模式，推动装置间的小循环、企业间的中循环、园区间的大循环，实现资源在生产链条中的循环利用。</w:t>
                  </w:r>
                </w:p>
                <w:p w14:paraId="2E8DB4D3">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方正仿宋_GBK"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4.4</w:t>
                  </w:r>
                  <w:r>
                    <w:rPr>
                      <w:rFonts w:hint="default" w:ascii="Times New Roman" w:hAnsi="Times New Roman" w:eastAsia="方正仿宋_GBK" w:cs="Times New Roman"/>
                      <w:color w:val="000000"/>
                      <w:kern w:val="0"/>
                      <w:sz w:val="21"/>
                      <w:szCs w:val="21"/>
                      <w:lang w:val="en-US" w:eastAsia="zh-CN" w:bidi="ar"/>
                    </w:rPr>
                    <w:t>）加大生态环保领域关键核心技术攻关力度，提升环保技术装备和产品供给能力。大力推广环境治理新技术新方法。</w:t>
                  </w:r>
                </w:p>
                <w:p w14:paraId="2A0C7699">
                  <w:pPr>
                    <w:keepNext w:val="0"/>
                    <w:keepLines w:val="0"/>
                    <w:widowControl/>
                    <w:suppressLineNumbers w:val="0"/>
                    <w:jc w:val="left"/>
                    <w:rPr>
                      <w:rFonts w:hint="default" w:ascii="Times New Roman" w:hAnsi="Times New Roman" w:eastAsia="方正仿宋_GBK"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w:t>
                  </w:r>
                  <w:r>
                    <w:rPr>
                      <w:rFonts w:hint="default" w:ascii="Times New Roman" w:hAnsi="Times New Roman" w:eastAsia="方正仿宋_GBK" w:cs="Times New Roman"/>
                      <w:color w:val="000000"/>
                      <w:kern w:val="0"/>
                      <w:sz w:val="21"/>
                      <w:szCs w:val="21"/>
                      <w:lang w:val="en-US" w:eastAsia="zh-CN" w:bidi="ar"/>
                    </w:rPr>
                    <w:t>．水环境工业污染重点管控区区域内执行以下管控要求：</w:t>
                  </w:r>
                </w:p>
                <w:p w14:paraId="729E20A1">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方正仿宋_GBK"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4.5</w:t>
                  </w:r>
                  <w:r>
                    <w:rPr>
                      <w:rFonts w:hint="default" w:ascii="Times New Roman" w:hAnsi="Times New Roman" w:eastAsia="方正仿宋_GBK" w:cs="Times New Roman"/>
                      <w:color w:val="000000"/>
                      <w:kern w:val="0"/>
                      <w:sz w:val="21"/>
                      <w:szCs w:val="21"/>
                      <w:lang w:val="en-US" w:eastAsia="zh-CN" w:bidi="ar"/>
                    </w:rPr>
                    <w:t>）提高水的重复利用率，促进污水再生回用。中远期项目废水回用率达到</w:t>
                  </w:r>
                  <w:r>
                    <w:rPr>
                      <w:rFonts w:hint="default" w:ascii="Times New Roman" w:hAnsi="Times New Roman" w:eastAsia="宋体" w:cs="Times New Roman"/>
                      <w:color w:val="000000"/>
                      <w:kern w:val="0"/>
                      <w:sz w:val="21"/>
                      <w:szCs w:val="21"/>
                      <w:lang w:val="en-US" w:eastAsia="zh-CN" w:bidi="ar"/>
                    </w:rPr>
                    <w:t>50%</w:t>
                  </w:r>
                  <w:r>
                    <w:rPr>
                      <w:rFonts w:hint="default" w:ascii="Times New Roman" w:hAnsi="Times New Roman" w:eastAsia="方正仿宋_GBK" w:cs="Times New Roman"/>
                      <w:color w:val="000000"/>
                      <w:kern w:val="0"/>
                      <w:sz w:val="21"/>
                      <w:szCs w:val="21"/>
                      <w:lang w:val="en-US" w:eastAsia="zh-CN" w:bidi="ar"/>
                    </w:rPr>
                    <w:t>。</w:t>
                  </w:r>
                </w:p>
                <w:p w14:paraId="1676F6D4">
                  <w:pPr>
                    <w:keepNext w:val="0"/>
                    <w:keepLines w:val="0"/>
                    <w:widowControl/>
                    <w:suppressLineNumbers w:val="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方正仿宋_GBK"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4.6</w:t>
                  </w:r>
                  <w:r>
                    <w:rPr>
                      <w:rFonts w:hint="default" w:ascii="Times New Roman" w:hAnsi="Times New Roman" w:eastAsia="方正仿宋_GBK" w:cs="Times New Roman"/>
                      <w:color w:val="000000"/>
                      <w:kern w:val="0"/>
                      <w:sz w:val="21"/>
                      <w:szCs w:val="21"/>
                      <w:lang w:val="en-US" w:eastAsia="zh-CN" w:bidi="ar"/>
                    </w:rPr>
                    <w:t>）通过技术改造并使用节水工艺，降低单位产品取水量，提高园区内工业用水回收再利用率等措施，能有效提高水资源利用率。</w:t>
                  </w:r>
                </w:p>
              </w:tc>
              <w:tc>
                <w:tcPr>
                  <w:tcW w:w="734" w:type="pct"/>
                  <w:noWrap w:val="0"/>
                  <w:vAlign w:val="center"/>
                </w:tcPr>
                <w:p w14:paraId="3207317E">
                  <w:pPr>
                    <w:adjustRightInd w:val="0"/>
                    <w:snapToGrid w:val="0"/>
                    <w:jc w:val="both"/>
                    <w:rPr>
                      <w:rFonts w:hint="default" w:ascii="Times New Roman" w:hAnsi="Times New Roman" w:eastAsia="宋体" w:cs="Times New Roman"/>
                      <w:spacing w:val="0"/>
                      <w:kern w:val="2"/>
                      <w:sz w:val="21"/>
                      <w:szCs w:val="21"/>
                      <w:lang w:val="en-US" w:eastAsia="zh-CN"/>
                    </w:rPr>
                  </w:pPr>
                  <w:r>
                    <w:rPr>
                      <w:rFonts w:hint="default" w:ascii="Times New Roman" w:hAnsi="Times New Roman" w:eastAsia="宋体" w:cs="Times New Roman"/>
                      <w:spacing w:val="0"/>
                      <w:kern w:val="2"/>
                      <w:sz w:val="21"/>
                      <w:szCs w:val="21"/>
                      <w:lang w:val="en-US" w:eastAsia="zh-CN"/>
                    </w:rPr>
                    <w:t>本项目建设运营对水资源消耗量极小，占地面积较小，不突破当地资源利用上线。</w:t>
                  </w:r>
                </w:p>
                <w:p w14:paraId="54F47A66">
                  <w:pPr>
                    <w:keepNext w:val="0"/>
                    <w:keepLines w:val="0"/>
                    <w:pageBreakBefore w:val="0"/>
                    <w:widowControl w:val="0"/>
                    <w:suppressLineNumbers w:val="0"/>
                    <w:wordWrap/>
                    <w:topLinePunct w:val="0"/>
                    <w:bidi w:val="0"/>
                    <w:spacing w:line="240" w:lineRule="auto"/>
                    <w:jc w:val="both"/>
                    <w:rPr>
                      <w:rFonts w:hint="default" w:ascii="Times New Roman" w:hAnsi="Times New Roman" w:eastAsia="宋体" w:cs="Times New Roman"/>
                      <w:color w:val="auto"/>
                      <w:kern w:val="0"/>
                      <w:sz w:val="21"/>
                      <w:szCs w:val="21"/>
                      <w:highlight w:val="none"/>
                      <w:lang w:val="en-US" w:eastAsia="zh-CN" w:bidi="ar"/>
                    </w:rPr>
                  </w:pPr>
                </w:p>
              </w:tc>
              <w:tc>
                <w:tcPr>
                  <w:tcW w:w="314" w:type="pct"/>
                  <w:noWrap w:val="0"/>
                  <w:vAlign w:val="center"/>
                </w:tcPr>
                <w:p w14:paraId="24409DC8">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bl>
          <w:p w14:paraId="39B9C951">
            <w:pPr>
              <w:pStyle w:val="25"/>
              <w:keepNext w:val="0"/>
              <w:keepLines w:val="0"/>
              <w:pageBreakBefore w:val="0"/>
              <w:widowControl w:val="0"/>
              <w:kinsoku/>
              <w:wordWrap/>
              <w:overflowPunct/>
              <w:topLinePunct w:val="0"/>
              <w:autoSpaceDE/>
              <w:autoSpaceDN/>
              <w:bidi w:val="0"/>
              <w:adjustRightInd w:val="0"/>
              <w:snapToGrid/>
              <w:spacing w:before="157" w:beforeLines="50" w:line="360" w:lineRule="auto"/>
              <w:ind w:firstLine="482"/>
              <w:textAlignment w:val="baseline"/>
              <w:rPr>
                <w:rFonts w:hint="default" w:ascii="Times New Roman" w:hAnsi="Times New Roman" w:eastAsia="宋体" w:cs="Times New Roman"/>
                <w:color w:val="auto"/>
                <w:spacing w:val="-6"/>
                <w:kern w:val="2"/>
                <w:sz w:val="24"/>
                <w:szCs w:val="24"/>
                <w:highlight w:val="none"/>
                <w:lang w:val="en-US" w:eastAsia="zh-CN" w:bidi="ar-SA"/>
              </w:rPr>
            </w:pPr>
            <w:r>
              <w:rPr>
                <w:rFonts w:hint="default" w:ascii="Times New Roman" w:hAnsi="Times New Roman" w:eastAsia="宋体" w:cs="Times New Roman"/>
                <w:color w:val="auto"/>
                <w:spacing w:val="-6"/>
                <w:kern w:val="2"/>
                <w:sz w:val="24"/>
                <w:szCs w:val="24"/>
                <w:highlight w:val="none"/>
                <w:lang w:val="en-US" w:eastAsia="zh-CN" w:bidi="ar-SA"/>
              </w:rPr>
              <w:t>综上所述，本项目符合</w:t>
            </w:r>
            <w:r>
              <w:rPr>
                <w:rFonts w:hint="default" w:ascii="Times New Roman" w:hAnsi="Times New Roman" w:eastAsia="宋体" w:cs="Times New Roman"/>
                <w:color w:val="auto"/>
                <w:sz w:val="24"/>
                <w:szCs w:val="24"/>
                <w:highlight w:val="none"/>
                <w:lang w:val="en-US" w:eastAsia="zh-CN"/>
              </w:rPr>
              <w:t>《</w:t>
            </w:r>
            <w:r>
              <w:rPr>
                <w:rFonts w:hint="eastAsia" w:eastAsia="宋体" w:cs="Times New Roman"/>
                <w:color w:val="auto"/>
                <w:sz w:val="24"/>
                <w:szCs w:val="24"/>
                <w:highlight w:val="none"/>
                <w:lang w:val="en-US" w:eastAsia="zh-CN"/>
              </w:rPr>
              <w:t>乌鲁木齐市生态环境分区管控动态更新成果</w:t>
            </w:r>
            <w:r>
              <w:rPr>
                <w:rFonts w:hint="default" w:ascii="Times New Roman" w:hAnsi="Times New Roman" w:eastAsia="宋体" w:cs="Times New Roman"/>
                <w:color w:val="auto"/>
                <w:sz w:val="24"/>
                <w:szCs w:val="24"/>
                <w:highlight w:val="none"/>
                <w:lang w:val="en-US" w:eastAsia="zh-CN"/>
              </w:rPr>
              <w:t>》中的相关要求</w:t>
            </w:r>
            <w:r>
              <w:rPr>
                <w:rFonts w:hint="default" w:ascii="Times New Roman" w:hAnsi="Times New Roman" w:eastAsia="宋体" w:cs="Times New Roman"/>
                <w:color w:val="auto"/>
                <w:spacing w:val="-6"/>
                <w:kern w:val="2"/>
                <w:sz w:val="24"/>
                <w:szCs w:val="24"/>
                <w:highlight w:val="none"/>
                <w:lang w:val="en-US" w:eastAsia="zh-CN" w:bidi="ar-SA"/>
              </w:rPr>
              <w:t>。</w:t>
            </w:r>
          </w:p>
          <w:p w14:paraId="6C8D9BFF">
            <w:pPr>
              <w:keepNext w:val="0"/>
              <w:keepLines w:val="0"/>
              <w:pageBreakBefore w:val="0"/>
              <w:widowControl w:val="0"/>
              <w:wordWrap/>
              <w:topLinePunct w:val="0"/>
              <w:bidi w:val="0"/>
              <w:spacing w:line="360" w:lineRule="auto"/>
              <w:jc w:val="both"/>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1.3与《输变电建设项目环境保护技术要求》（HJ1113-2020）符合性分析</w:t>
            </w:r>
          </w:p>
          <w:p w14:paraId="75A69D5D">
            <w:pPr>
              <w:pStyle w:val="25"/>
              <w:keepNext w:val="0"/>
              <w:keepLines w:val="0"/>
              <w:pageBreakBefore w:val="0"/>
              <w:widowControl w:val="0"/>
              <w:wordWrap/>
              <w:topLinePunct w:val="0"/>
              <w:bidi w:val="0"/>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本项目与《输变电建设项目环境保护技术要求》的符合性分析见表1-2。</w:t>
            </w:r>
          </w:p>
          <w:p w14:paraId="4B6972E7">
            <w:pPr>
              <w:pStyle w:val="25"/>
              <w:keepNext w:val="0"/>
              <w:keepLines w:val="0"/>
              <w:pageBreakBefore w:val="0"/>
              <w:widowControl w:val="0"/>
              <w:wordWrap/>
              <w:topLinePunct w:val="0"/>
              <w:bidi w:val="0"/>
              <w:spacing w:line="240" w:lineRule="auto"/>
              <w:ind w:firstLine="422" w:firstLineChars="20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 xml:space="preserve">表1-2 </w:t>
            </w:r>
            <w:r>
              <w:rPr>
                <w:rFonts w:hint="eastAsia" w:ascii="Times New Roman" w:hAnsi="Times New Roman" w:eastAsia="宋体" w:cs="Times New Roman"/>
                <w:b/>
                <w:bCs/>
                <w:color w:val="auto"/>
                <w:kern w:val="2"/>
                <w:sz w:val="21"/>
                <w:szCs w:val="21"/>
                <w:highlight w:val="none"/>
                <w:lang w:val="en-US" w:eastAsia="zh-CN" w:bidi="ar-SA"/>
              </w:rPr>
              <w:t xml:space="preserve">    </w:t>
            </w:r>
            <w:r>
              <w:rPr>
                <w:rFonts w:hint="default" w:ascii="Times New Roman" w:hAnsi="Times New Roman" w:eastAsia="宋体" w:cs="Times New Roman"/>
                <w:b/>
                <w:bCs/>
                <w:color w:val="auto"/>
                <w:kern w:val="2"/>
                <w:sz w:val="21"/>
                <w:szCs w:val="21"/>
                <w:highlight w:val="none"/>
                <w:lang w:val="en-US" w:eastAsia="zh-CN" w:bidi="ar-SA"/>
              </w:rPr>
              <w:t xml:space="preserve">与《输变电建设项目环境保护技术要求》符合性分析 </w:t>
            </w:r>
            <w:r>
              <w:rPr>
                <w:rFonts w:hint="default" w:ascii="Times New Roman" w:hAnsi="Times New Roman" w:eastAsia="宋体" w:cs="Times New Roman"/>
                <w:color w:val="auto"/>
                <w:kern w:val="2"/>
                <w:sz w:val="21"/>
                <w:szCs w:val="21"/>
                <w:highlight w:val="none"/>
                <w:lang w:val="en-US" w:eastAsia="zh-CN" w:bidi="ar-SA"/>
              </w:rPr>
              <w:t xml:space="preserve">  </w:t>
            </w:r>
          </w:p>
          <w:tbl>
            <w:tblPr>
              <w:tblStyle w:val="19"/>
              <w:tblW w:w="49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
              <w:gridCol w:w="421"/>
              <w:gridCol w:w="3198"/>
              <w:gridCol w:w="1811"/>
              <w:gridCol w:w="804"/>
            </w:tblGrid>
            <w:tr w14:paraId="7F88F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332" w:type="pct"/>
                  <w:noWrap w:val="0"/>
                  <w:vAlign w:val="center"/>
                </w:tcPr>
                <w:p w14:paraId="60037F69">
                  <w:pPr>
                    <w:pStyle w:val="25"/>
                    <w:keepNext w:val="0"/>
                    <w:keepLines w:val="0"/>
                    <w:pageBreakBefore w:val="0"/>
                    <w:widowControl w:val="0"/>
                    <w:kinsoku/>
                    <w:wordWrap/>
                    <w:overflowPunct/>
                    <w:topLinePunct w:val="0"/>
                    <w:autoSpaceDE/>
                    <w:autoSpaceDN/>
                    <w:bidi w:val="0"/>
                    <w:snapToGrid/>
                    <w:spacing w:line="260" w:lineRule="exac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分类</w:t>
                  </w:r>
                </w:p>
              </w:tc>
              <w:tc>
                <w:tcPr>
                  <w:tcW w:w="2708" w:type="pct"/>
                  <w:gridSpan w:val="2"/>
                  <w:noWrap w:val="0"/>
                  <w:vAlign w:val="center"/>
                </w:tcPr>
                <w:p w14:paraId="1F726D5B">
                  <w:pPr>
                    <w:pStyle w:val="25"/>
                    <w:keepNext w:val="0"/>
                    <w:keepLines w:val="0"/>
                    <w:pageBreakBefore w:val="0"/>
                    <w:widowControl w:val="0"/>
                    <w:kinsoku/>
                    <w:wordWrap/>
                    <w:overflowPunct/>
                    <w:topLinePunct w:val="0"/>
                    <w:autoSpaceDE/>
                    <w:autoSpaceDN/>
                    <w:bidi w:val="0"/>
                    <w:snapToGrid/>
                    <w:spacing w:line="260" w:lineRule="exac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具体要求</w:t>
                  </w:r>
                </w:p>
              </w:tc>
              <w:tc>
                <w:tcPr>
                  <w:tcW w:w="1355" w:type="pct"/>
                  <w:noWrap w:val="0"/>
                  <w:vAlign w:val="center"/>
                </w:tcPr>
                <w:p w14:paraId="229A96AF">
                  <w:pPr>
                    <w:pStyle w:val="25"/>
                    <w:keepNext w:val="0"/>
                    <w:keepLines w:val="0"/>
                    <w:pageBreakBefore w:val="0"/>
                    <w:widowControl w:val="0"/>
                    <w:kinsoku/>
                    <w:wordWrap/>
                    <w:overflowPunct/>
                    <w:topLinePunct w:val="0"/>
                    <w:autoSpaceDE/>
                    <w:autoSpaceDN/>
                    <w:bidi w:val="0"/>
                    <w:snapToGrid/>
                    <w:spacing w:line="260" w:lineRule="exact"/>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本项目</w:t>
                  </w:r>
                </w:p>
              </w:tc>
              <w:tc>
                <w:tcPr>
                  <w:tcW w:w="602" w:type="pct"/>
                  <w:noWrap w:val="0"/>
                  <w:vAlign w:val="center"/>
                </w:tcPr>
                <w:p w14:paraId="0734AF60">
                  <w:pPr>
                    <w:pStyle w:val="25"/>
                    <w:keepNext w:val="0"/>
                    <w:keepLines w:val="0"/>
                    <w:pageBreakBefore w:val="0"/>
                    <w:widowControl w:val="0"/>
                    <w:kinsoku/>
                    <w:wordWrap/>
                    <w:overflowPunct/>
                    <w:topLinePunct w:val="0"/>
                    <w:autoSpaceDE/>
                    <w:autoSpaceDN/>
                    <w:bidi w:val="0"/>
                    <w:snapToGrid/>
                    <w:spacing w:line="260" w:lineRule="exact"/>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符合性</w:t>
                  </w:r>
                </w:p>
              </w:tc>
            </w:tr>
            <w:tr w14:paraId="44416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332" w:type="pct"/>
                  <w:vMerge w:val="restart"/>
                  <w:noWrap w:val="0"/>
                  <w:vAlign w:val="center"/>
                </w:tcPr>
                <w:p w14:paraId="2099AFF8">
                  <w:pPr>
                    <w:pStyle w:val="25"/>
                    <w:keepNext w:val="0"/>
                    <w:keepLines w:val="0"/>
                    <w:pageBreakBefore w:val="0"/>
                    <w:widowControl w:val="0"/>
                    <w:kinsoku/>
                    <w:wordWrap/>
                    <w:overflowPunct/>
                    <w:topLinePunct w:val="0"/>
                    <w:autoSpaceDE/>
                    <w:autoSpaceDN/>
                    <w:bidi w:val="0"/>
                    <w:snapToGrid/>
                    <w:spacing w:line="260" w:lineRule="exact"/>
                    <w:rPr>
                      <w:rFonts w:hint="default" w:ascii="Times New Roman" w:hAnsi="Times New Roman" w:eastAsia="宋体" w:cs="Times New Roman"/>
                      <w:color w:val="auto"/>
                      <w:kern w:val="2"/>
                      <w:sz w:val="21"/>
                      <w:szCs w:val="21"/>
                      <w:highlight w:val="none"/>
                      <w:vertAlign w:val="baseline"/>
                      <w:lang w:val="en-US" w:eastAsia="zh-CN" w:bidi="ar-SA"/>
                    </w:rPr>
                  </w:pPr>
                </w:p>
                <w:p w14:paraId="65A92E81">
                  <w:pPr>
                    <w:pStyle w:val="25"/>
                    <w:keepNext w:val="0"/>
                    <w:keepLines w:val="0"/>
                    <w:pageBreakBefore w:val="0"/>
                    <w:widowControl w:val="0"/>
                    <w:kinsoku/>
                    <w:wordWrap/>
                    <w:overflowPunct/>
                    <w:topLinePunct w:val="0"/>
                    <w:autoSpaceDE/>
                    <w:autoSpaceDN/>
                    <w:bidi w:val="0"/>
                    <w:snapToGrid/>
                    <w:spacing w:line="260" w:lineRule="exact"/>
                    <w:rPr>
                      <w:rFonts w:hint="default" w:ascii="Times New Roman" w:hAnsi="Times New Roman" w:eastAsia="宋体" w:cs="Times New Roman"/>
                      <w:color w:val="auto"/>
                      <w:kern w:val="2"/>
                      <w:sz w:val="21"/>
                      <w:szCs w:val="21"/>
                      <w:highlight w:val="none"/>
                      <w:vertAlign w:val="baseline"/>
                      <w:lang w:val="en-US" w:eastAsia="zh-CN" w:bidi="ar-SA"/>
                    </w:rPr>
                  </w:pPr>
                </w:p>
                <w:p w14:paraId="08E66FEC">
                  <w:pPr>
                    <w:pStyle w:val="25"/>
                    <w:keepNext w:val="0"/>
                    <w:keepLines w:val="0"/>
                    <w:pageBreakBefore w:val="0"/>
                    <w:widowControl w:val="0"/>
                    <w:kinsoku/>
                    <w:wordWrap/>
                    <w:overflowPunct/>
                    <w:topLinePunct w:val="0"/>
                    <w:autoSpaceDE/>
                    <w:autoSpaceDN/>
                    <w:bidi w:val="0"/>
                    <w:snapToGrid/>
                    <w:spacing w:line="260" w:lineRule="exact"/>
                    <w:rPr>
                      <w:rFonts w:hint="default" w:ascii="Times New Roman" w:hAnsi="Times New Roman" w:eastAsia="宋体" w:cs="Times New Roman"/>
                      <w:color w:val="auto"/>
                      <w:kern w:val="2"/>
                      <w:sz w:val="21"/>
                      <w:szCs w:val="21"/>
                      <w:highlight w:val="none"/>
                      <w:vertAlign w:val="baseline"/>
                      <w:lang w:val="en-US" w:eastAsia="zh-CN" w:bidi="ar-SA"/>
                    </w:rPr>
                  </w:pPr>
                </w:p>
                <w:p w14:paraId="45BEAA5D">
                  <w:pPr>
                    <w:pStyle w:val="25"/>
                    <w:keepNext w:val="0"/>
                    <w:keepLines w:val="0"/>
                    <w:pageBreakBefore w:val="0"/>
                    <w:widowControl w:val="0"/>
                    <w:kinsoku/>
                    <w:wordWrap/>
                    <w:overflowPunct/>
                    <w:topLinePunct w:val="0"/>
                    <w:autoSpaceDE/>
                    <w:autoSpaceDN/>
                    <w:bidi w:val="0"/>
                    <w:snapToGrid/>
                    <w:spacing w:line="260" w:lineRule="exact"/>
                    <w:rPr>
                      <w:rFonts w:hint="default" w:ascii="Times New Roman" w:hAnsi="Times New Roman" w:eastAsia="宋体" w:cs="Times New Roman"/>
                      <w:color w:val="auto"/>
                      <w:kern w:val="2"/>
                      <w:sz w:val="21"/>
                      <w:szCs w:val="21"/>
                      <w:highlight w:val="none"/>
                      <w:vertAlign w:val="baseline"/>
                      <w:lang w:val="en-US" w:eastAsia="zh-CN" w:bidi="ar-SA"/>
                    </w:rPr>
                  </w:pPr>
                </w:p>
                <w:p w14:paraId="7212D4DC">
                  <w:pPr>
                    <w:pStyle w:val="25"/>
                    <w:keepNext w:val="0"/>
                    <w:keepLines w:val="0"/>
                    <w:pageBreakBefore w:val="0"/>
                    <w:widowControl w:val="0"/>
                    <w:kinsoku/>
                    <w:wordWrap/>
                    <w:overflowPunct/>
                    <w:topLinePunct w:val="0"/>
                    <w:autoSpaceDE/>
                    <w:autoSpaceDN/>
                    <w:bidi w:val="0"/>
                    <w:snapToGrid/>
                    <w:spacing w:line="260" w:lineRule="exact"/>
                    <w:rPr>
                      <w:rFonts w:hint="default" w:ascii="Times New Roman" w:hAnsi="Times New Roman" w:eastAsia="宋体" w:cs="Times New Roman"/>
                      <w:color w:val="auto"/>
                      <w:kern w:val="2"/>
                      <w:sz w:val="21"/>
                      <w:szCs w:val="21"/>
                      <w:highlight w:val="none"/>
                      <w:vertAlign w:val="baseline"/>
                      <w:lang w:val="en-US" w:eastAsia="zh-CN" w:bidi="ar-SA"/>
                    </w:rPr>
                  </w:pPr>
                </w:p>
                <w:p w14:paraId="3D908FFE">
                  <w:pPr>
                    <w:pStyle w:val="25"/>
                    <w:keepNext w:val="0"/>
                    <w:keepLines w:val="0"/>
                    <w:pageBreakBefore w:val="0"/>
                    <w:widowControl w:val="0"/>
                    <w:kinsoku/>
                    <w:wordWrap/>
                    <w:overflowPunct/>
                    <w:topLinePunct w:val="0"/>
                    <w:autoSpaceDE/>
                    <w:autoSpaceDN/>
                    <w:bidi w:val="0"/>
                    <w:snapToGrid/>
                    <w:spacing w:line="260" w:lineRule="exact"/>
                    <w:rPr>
                      <w:rFonts w:hint="default" w:ascii="Times New Roman" w:hAnsi="Times New Roman" w:eastAsia="宋体" w:cs="Times New Roman"/>
                      <w:color w:val="auto"/>
                      <w:kern w:val="2"/>
                      <w:sz w:val="21"/>
                      <w:szCs w:val="21"/>
                      <w:highlight w:val="none"/>
                      <w:vertAlign w:val="baseline"/>
                      <w:lang w:val="en-US" w:eastAsia="zh-CN" w:bidi="ar-SA"/>
                    </w:rPr>
                  </w:pPr>
                </w:p>
                <w:p w14:paraId="587D2BE9">
                  <w:pPr>
                    <w:pStyle w:val="25"/>
                    <w:keepNext w:val="0"/>
                    <w:keepLines w:val="0"/>
                    <w:pageBreakBefore w:val="0"/>
                    <w:widowControl w:val="0"/>
                    <w:kinsoku/>
                    <w:wordWrap/>
                    <w:overflowPunct/>
                    <w:topLinePunct w:val="0"/>
                    <w:autoSpaceDE/>
                    <w:autoSpaceDN/>
                    <w:bidi w:val="0"/>
                    <w:snapToGrid/>
                    <w:spacing w:line="260" w:lineRule="exact"/>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选址选线</w:t>
                  </w:r>
                </w:p>
              </w:tc>
              <w:tc>
                <w:tcPr>
                  <w:tcW w:w="2708" w:type="pct"/>
                  <w:gridSpan w:val="2"/>
                  <w:noWrap w:val="0"/>
                  <w:vAlign w:val="center"/>
                </w:tcPr>
                <w:p w14:paraId="0BD4F277">
                  <w:pPr>
                    <w:keepNext w:val="0"/>
                    <w:keepLines w:val="0"/>
                    <w:pageBreakBefore w:val="0"/>
                    <w:widowControl w:val="0"/>
                    <w:suppressLineNumbers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
                    </w:rPr>
                    <w:t>工程选址选线应符合规划环境影响评价文件的要求。</w:t>
                  </w:r>
                </w:p>
              </w:tc>
              <w:tc>
                <w:tcPr>
                  <w:tcW w:w="1355" w:type="pct"/>
                  <w:noWrap w:val="0"/>
                  <w:vAlign w:val="center"/>
                </w:tcPr>
                <w:p w14:paraId="52286CB4">
                  <w:pPr>
                    <w:pStyle w:val="25"/>
                    <w:keepNext w:val="0"/>
                    <w:keepLines w:val="0"/>
                    <w:pageBreakBefore w:val="0"/>
                    <w:widowControl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本项目选址符合当地规划</w:t>
                  </w:r>
                </w:p>
              </w:tc>
              <w:tc>
                <w:tcPr>
                  <w:tcW w:w="602" w:type="pct"/>
                  <w:noWrap w:val="0"/>
                  <w:vAlign w:val="center"/>
                </w:tcPr>
                <w:p w14:paraId="7AA4A740">
                  <w:pPr>
                    <w:pStyle w:val="25"/>
                    <w:keepNext w:val="0"/>
                    <w:keepLines w:val="0"/>
                    <w:pageBreakBefore w:val="0"/>
                    <w:widowControl w:val="0"/>
                    <w:kinsoku/>
                    <w:wordWrap/>
                    <w:overflowPunct/>
                    <w:topLinePunct w:val="0"/>
                    <w:autoSpaceDE/>
                    <w:autoSpaceDN/>
                    <w:bidi w:val="0"/>
                    <w:snapToGrid/>
                    <w:spacing w:line="260" w:lineRule="exac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符合</w:t>
                  </w:r>
                </w:p>
              </w:tc>
            </w:tr>
            <w:tr w14:paraId="4A3BE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332" w:type="pct"/>
                  <w:vMerge w:val="continue"/>
                  <w:noWrap w:val="0"/>
                  <w:vAlign w:val="center"/>
                </w:tcPr>
                <w:p w14:paraId="047D9850">
                  <w:pPr>
                    <w:pStyle w:val="25"/>
                    <w:keepNext w:val="0"/>
                    <w:keepLines w:val="0"/>
                    <w:pageBreakBefore w:val="0"/>
                    <w:widowControl w:val="0"/>
                    <w:kinsoku/>
                    <w:wordWrap/>
                    <w:overflowPunct/>
                    <w:topLinePunct w:val="0"/>
                    <w:autoSpaceDE/>
                    <w:autoSpaceDN/>
                    <w:bidi w:val="0"/>
                    <w:snapToGrid/>
                    <w:spacing w:line="260" w:lineRule="exact"/>
                    <w:rPr>
                      <w:rFonts w:hint="default" w:ascii="Times New Roman" w:hAnsi="Times New Roman" w:eastAsia="宋体" w:cs="Times New Roman"/>
                      <w:color w:val="auto"/>
                      <w:kern w:val="2"/>
                      <w:sz w:val="21"/>
                      <w:szCs w:val="21"/>
                      <w:highlight w:val="none"/>
                      <w:vertAlign w:val="baseline"/>
                      <w:lang w:val="en-US" w:eastAsia="zh-CN" w:bidi="ar-SA"/>
                    </w:rPr>
                  </w:pPr>
                </w:p>
              </w:tc>
              <w:tc>
                <w:tcPr>
                  <w:tcW w:w="2708" w:type="pct"/>
                  <w:gridSpan w:val="2"/>
                  <w:noWrap w:val="0"/>
                  <w:vAlign w:val="center"/>
                </w:tcPr>
                <w:p w14:paraId="6A655B7C">
                  <w:pPr>
                    <w:keepNext w:val="0"/>
                    <w:keepLines w:val="0"/>
                    <w:pageBreakBefore w:val="0"/>
                    <w:widowControl w:val="0"/>
                    <w:suppressLineNumbers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
                    </w:rPr>
                    <w:t>输变电建设项目选址选线应符合生态保护红线管控要求，避让自然保护区、饮用水水源保护区等环境敏感区。</w:t>
                  </w:r>
                </w:p>
              </w:tc>
              <w:tc>
                <w:tcPr>
                  <w:tcW w:w="1355" w:type="pct"/>
                  <w:noWrap w:val="0"/>
                  <w:vAlign w:val="center"/>
                </w:tcPr>
                <w:p w14:paraId="24FB0229">
                  <w:pPr>
                    <w:pStyle w:val="25"/>
                    <w:keepNext w:val="0"/>
                    <w:keepLines w:val="0"/>
                    <w:pageBreakBefore w:val="0"/>
                    <w:widowControl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本项目位于</w:t>
                  </w:r>
                  <w:r>
                    <w:rPr>
                      <w:rFonts w:hint="eastAsia" w:ascii="Times New Roman" w:hAnsi="Times New Roman" w:eastAsia="宋体" w:cs="Times New Roman"/>
                      <w:color w:val="auto"/>
                      <w:kern w:val="2"/>
                      <w:sz w:val="21"/>
                      <w:szCs w:val="21"/>
                      <w:highlight w:val="none"/>
                      <w:vertAlign w:val="baseline"/>
                      <w:lang w:val="en-US" w:eastAsia="zh-CN" w:bidi="ar-SA"/>
                    </w:rPr>
                    <w:t>重点管控单元</w:t>
                  </w:r>
                  <w:r>
                    <w:rPr>
                      <w:rFonts w:hint="default" w:ascii="Times New Roman" w:hAnsi="Times New Roman" w:eastAsia="宋体" w:cs="Times New Roman"/>
                      <w:color w:val="auto"/>
                      <w:kern w:val="2"/>
                      <w:sz w:val="21"/>
                      <w:szCs w:val="21"/>
                      <w:highlight w:val="none"/>
                      <w:vertAlign w:val="baseline"/>
                      <w:lang w:val="en-US" w:eastAsia="zh-CN" w:bidi="ar-SA"/>
                    </w:rPr>
                    <w:t>，不在生态保护红线管控区内，不涉及自然保护区、饮用水水源保护区等环境敏感区</w:t>
                  </w:r>
                </w:p>
              </w:tc>
              <w:tc>
                <w:tcPr>
                  <w:tcW w:w="602" w:type="pct"/>
                  <w:noWrap w:val="0"/>
                  <w:vAlign w:val="center"/>
                </w:tcPr>
                <w:p w14:paraId="70CCDBF6">
                  <w:pPr>
                    <w:pStyle w:val="25"/>
                    <w:keepNext w:val="0"/>
                    <w:keepLines w:val="0"/>
                    <w:pageBreakBefore w:val="0"/>
                    <w:widowControl w:val="0"/>
                    <w:kinsoku/>
                    <w:wordWrap/>
                    <w:overflowPunct/>
                    <w:topLinePunct w:val="0"/>
                    <w:autoSpaceDE/>
                    <w:autoSpaceDN/>
                    <w:bidi w:val="0"/>
                    <w:snapToGrid/>
                    <w:spacing w:line="260" w:lineRule="exac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符合</w:t>
                  </w:r>
                </w:p>
              </w:tc>
            </w:tr>
            <w:tr w14:paraId="02104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3" w:hRule="atLeast"/>
                <w:jc w:val="center"/>
              </w:trPr>
              <w:tc>
                <w:tcPr>
                  <w:tcW w:w="332" w:type="pct"/>
                  <w:vMerge w:val="continue"/>
                  <w:noWrap w:val="0"/>
                  <w:vAlign w:val="center"/>
                </w:tcPr>
                <w:p w14:paraId="4F13B105">
                  <w:pPr>
                    <w:pStyle w:val="25"/>
                    <w:keepNext w:val="0"/>
                    <w:keepLines w:val="0"/>
                    <w:pageBreakBefore w:val="0"/>
                    <w:widowControl w:val="0"/>
                    <w:kinsoku/>
                    <w:wordWrap/>
                    <w:overflowPunct/>
                    <w:topLinePunct w:val="0"/>
                    <w:autoSpaceDE/>
                    <w:autoSpaceDN/>
                    <w:bidi w:val="0"/>
                    <w:snapToGrid/>
                    <w:spacing w:line="260" w:lineRule="exact"/>
                    <w:rPr>
                      <w:rFonts w:hint="default" w:ascii="Times New Roman" w:hAnsi="Times New Roman" w:eastAsia="宋体" w:cs="Times New Roman"/>
                      <w:color w:val="auto"/>
                      <w:kern w:val="2"/>
                      <w:sz w:val="21"/>
                      <w:szCs w:val="21"/>
                      <w:highlight w:val="none"/>
                      <w:vertAlign w:val="baseline"/>
                      <w:lang w:val="en-US" w:eastAsia="zh-CN" w:bidi="ar-SA"/>
                    </w:rPr>
                  </w:pPr>
                </w:p>
              </w:tc>
              <w:tc>
                <w:tcPr>
                  <w:tcW w:w="2708" w:type="pct"/>
                  <w:gridSpan w:val="2"/>
                  <w:noWrap w:val="0"/>
                  <w:vAlign w:val="center"/>
                </w:tcPr>
                <w:p w14:paraId="0E0EF874">
                  <w:pPr>
                    <w:keepNext w:val="0"/>
                    <w:keepLines w:val="0"/>
                    <w:pageBreakBefore w:val="0"/>
                    <w:widowControl w:val="0"/>
                    <w:suppressLineNumbers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pacing w:val="-6"/>
                      <w:kern w:val="0"/>
                      <w:sz w:val="21"/>
                      <w:szCs w:val="21"/>
                      <w:highlight w:val="none"/>
                      <w:lang w:val="en-US" w:eastAsia="zh-CN" w:bidi="ar"/>
                    </w:rPr>
                    <w:t>变电工程在选址时应按终期规模综合考虑进出线走廊规划，避免进出线进入自然保护区、饮用水水源保护区等环境敏感区。进入自然保护区的输电线路，应按照HJ19的要求开展生态现状调查，避让保护对象的集中分布区。</w:t>
                  </w:r>
                </w:p>
              </w:tc>
              <w:tc>
                <w:tcPr>
                  <w:tcW w:w="1355" w:type="pct"/>
                  <w:noWrap w:val="0"/>
                  <w:vAlign w:val="center"/>
                </w:tcPr>
                <w:p w14:paraId="729AE242">
                  <w:pPr>
                    <w:pStyle w:val="25"/>
                    <w:keepNext w:val="0"/>
                    <w:keepLines w:val="0"/>
                    <w:pageBreakBefore w:val="0"/>
                    <w:widowControl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本项目</w:t>
                  </w:r>
                  <w:r>
                    <w:rPr>
                      <w:rFonts w:hint="eastAsia" w:ascii="Times New Roman" w:hAnsi="Times New Roman" w:eastAsia="宋体" w:cs="Times New Roman"/>
                      <w:color w:val="auto"/>
                      <w:kern w:val="2"/>
                      <w:sz w:val="21"/>
                      <w:szCs w:val="21"/>
                      <w:highlight w:val="none"/>
                      <w:vertAlign w:val="baseline"/>
                      <w:lang w:val="en-US" w:eastAsia="zh-CN" w:bidi="ar-SA"/>
                    </w:rPr>
                    <w:t>升压站周边</w:t>
                  </w:r>
                  <w:r>
                    <w:rPr>
                      <w:rFonts w:hint="default" w:ascii="Times New Roman" w:hAnsi="Times New Roman" w:eastAsia="宋体" w:cs="Times New Roman"/>
                      <w:color w:val="auto"/>
                      <w:kern w:val="2"/>
                      <w:sz w:val="21"/>
                      <w:szCs w:val="21"/>
                      <w:highlight w:val="none"/>
                      <w:vertAlign w:val="baseline"/>
                      <w:lang w:val="en-US" w:eastAsia="zh-CN" w:bidi="ar-SA"/>
                    </w:rPr>
                    <w:t>不涉及自然保护区、饮用水水源保护区等环境敏感区</w:t>
                  </w:r>
                </w:p>
              </w:tc>
              <w:tc>
                <w:tcPr>
                  <w:tcW w:w="602" w:type="pct"/>
                  <w:noWrap w:val="0"/>
                  <w:vAlign w:val="center"/>
                </w:tcPr>
                <w:p w14:paraId="5E75C32F">
                  <w:pPr>
                    <w:pStyle w:val="25"/>
                    <w:keepNext w:val="0"/>
                    <w:keepLines w:val="0"/>
                    <w:pageBreakBefore w:val="0"/>
                    <w:widowControl w:val="0"/>
                    <w:kinsoku/>
                    <w:wordWrap/>
                    <w:overflowPunct/>
                    <w:topLinePunct w:val="0"/>
                    <w:autoSpaceDE/>
                    <w:autoSpaceDN/>
                    <w:bidi w:val="0"/>
                    <w:snapToGrid/>
                    <w:spacing w:line="260" w:lineRule="exac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符合</w:t>
                  </w:r>
                </w:p>
              </w:tc>
            </w:tr>
            <w:tr w14:paraId="2F066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332" w:type="pct"/>
                  <w:vMerge w:val="continue"/>
                  <w:noWrap w:val="0"/>
                  <w:vAlign w:val="center"/>
                </w:tcPr>
                <w:p w14:paraId="1533181E">
                  <w:pPr>
                    <w:pStyle w:val="25"/>
                    <w:keepNext w:val="0"/>
                    <w:keepLines w:val="0"/>
                    <w:pageBreakBefore w:val="0"/>
                    <w:widowControl w:val="0"/>
                    <w:kinsoku/>
                    <w:wordWrap/>
                    <w:overflowPunct/>
                    <w:topLinePunct w:val="0"/>
                    <w:autoSpaceDE/>
                    <w:autoSpaceDN/>
                    <w:bidi w:val="0"/>
                    <w:snapToGrid/>
                    <w:spacing w:line="260" w:lineRule="exact"/>
                    <w:rPr>
                      <w:rFonts w:hint="default" w:ascii="Times New Roman" w:hAnsi="Times New Roman" w:eastAsia="宋体" w:cs="Times New Roman"/>
                      <w:color w:val="auto"/>
                      <w:kern w:val="2"/>
                      <w:sz w:val="21"/>
                      <w:szCs w:val="21"/>
                      <w:highlight w:val="none"/>
                      <w:vertAlign w:val="baseline"/>
                      <w:lang w:val="en-US" w:eastAsia="zh-CN" w:bidi="ar-SA"/>
                    </w:rPr>
                  </w:pPr>
                </w:p>
              </w:tc>
              <w:tc>
                <w:tcPr>
                  <w:tcW w:w="2708" w:type="pct"/>
                  <w:gridSpan w:val="2"/>
                  <w:noWrap w:val="0"/>
                  <w:vAlign w:val="center"/>
                </w:tcPr>
                <w:p w14:paraId="2DF74E0D">
                  <w:pPr>
                    <w:keepNext w:val="0"/>
                    <w:keepLines w:val="0"/>
                    <w:pageBreakBefore w:val="0"/>
                    <w:widowControl w:val="0"/>
                    <w:suppressLineNumbers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
                    </w:rPr>
                    <w:t>户外变电工程及规划架空进出线选址选线时，应关注以居住、医疗卫生、文化教育、科研、行政办公等为主要功能的区域，采取综合措施，减少电磁和声环境影响。</w:t>
                  </w:r>
                </w:p>
              </w:tc>
              <w:tc>
                <w:tcPr>
                  <w:tcW w:w="1355" w:type="pct"/>
                  <w:noWrap w:val="0"/>
                  <w:vAlign w:val="center"/>
                </w:tcPr>
                <w:p w14:paraId="7865512B">
                  <w:pPr>
                    <w:pStyle w:val="25"/>
                    <w:keepNext w:val="0"/>
                    <w:keepLines w:val="0"/>
                    <w:pageBreakBefore w:val="0"/>
                    <w:widowControl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本项目</w:t>
                  </w:r>
                  <w:r>
                    <w:rPr>
                      <w:rFonts w:hint="eastAsia" w:ascii="Times New Roman" w:hAnsi="Times New Roman" w:eastAsia="宋体" w:cs="Times New Roman"/>
                      <w:color w:val="auto"/>
                      <w:kern w:val="2"/>
                      <w:sz w:val="21"/>
                      <w:szCs w:val="21"/>
                      <w:highlight w:val="none"/>
                      <w:vertAlign w:val="baseline"/>
                      <w:lang w:val="en-US" w:eastAsia="zh-CN" w:bidi="ar-SA"/>
                    </w:rPr>
                    <w:t>升压站周边</w:t>
                  </w:r>
                  <w:r>
                    <w:rPr>
                      <w:rFonts w:hint="default" w:ascii="Times New Roman" w:hAnsi="Times New Roman" w:eastAsia="宋体" w:cs="Times New Roman"/>
                      <w:color w:val="auto"/>
                      <w:kern w:val="2"/>
                      <w:sz w:val="21"/>
                      <w:szCs w:val="21"/>
                      <w:highlight w:val="none"/>
                      <w:vertAlign w:val="baseline"/>
                      <w:lang w:val="en-US" w:eastAsia="zh-CN" w:bidi="ar-SA"/>
                    </w:rPr>
                    <w:t>不涉及居住、医疗卫生、文化教育、科研、行政办公等功能区域</w:t>
                  </w:r>
                </w:p>
              </w:tc>
              <w:tc>
                <w:tcPr>
                  <w:tcW w:w="602" w:type="pct"/>
                  <w:noWrap w:val="0"/>
                  <w:vAlign w:val="center"/>
                </w:tcPr>
                <w:p w14:paraId="3910C06C">
                  <w:pPr>
                    <w:pStyle w:val="25"/>
                    <w:keepNext w:val="0"/>
                    <w:keepLines w:val="0"/>
                    <w:pageBreakBefore w:val="0"/>
                    <w:widowControl w:val="0"/>
                    <w:kinsoku/>
                    <w:wordWrap/>
                    <w:overflowPunct/>
                    <w:topLinePunct w:val="0"/>
                    <w:autoSpaceDE/>
                    <w:autoSpaceDN/>
                    <w:bidi w:val="0"/>
                    <w:snapToGrid/>
                    <w:spacing w:line="260" w:lineRule="exac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符合</w:t>
                  </w:r>
                </w:p>
              </w:tc>
            </w:tr>
            <w:tr w14:paraId="5700E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32" w:type="pct"/>
                  <w:vMerge w:val="continue"/>
                  <w:noWrap w:val="0"/>
                  <w:vAlign w:val="center"/>
                </w:tcPr>
                <w:p w14:paraId="086F8E94">
                  <w:pPr>
                    <w:pStyle w:val="25"/>
                    <w:keepNext w:val="0"/>
                    <w:keepLines w:val="0"/>
                    <w:pageBreakBefore w:val="0"/>
                    <w:widowControl w:val="0"/>
                    <w:kinsoku/>
                    <w:wordWrap/>
                    <w:overflowPunct/>
                    <w:topLinePunct w:val="0"/>
                    <w:autoSpaceDE/>
                    <w:autoSpaceDN/>
                    <w:bidi w:val="0"/>
                    <w:snapToGrid/>
                    <w:spacing w:line="260" w:lineRule="exact"/>
                    <w:rPr>
                      <w:rFonts w:hint="default" w:ascii="Times New Roman" w:hAnsi="Times New Roman" w:eastAsia="宋体" w:cs="Times New Roman"/>
                      <w:color w:val="auto"/>
                      <w:kern w:val="2"/>
                      <w:sz w:val="21"/>
                      <w:szCs w:val="21"/>
                      <w:highlight w:val="none"/>
                      <w:vertAlign w:val="baseline"/>
                      <w:lang w:val="en-US" w:eastAsia="zh-CN" w:bidi="ar-SA"/>
                    </w:rPr>
                  </w:pPr>
                </w:p>
              </w:tc>
              <w:tc>
                <w:tcPr>
                  <w:tcW w:w="2708" w:type="pct"/>
                  <w:gridSpan w:val="2"/>
                  <w:noWrap w:val="0"/>
                  <w:vAlign w:val="center"/>
                </w:tcPr>
                <w:p w14:paraId="71B2F453">
                  <w:pPr>
                    <w:keepNext w:val="0"/>
                    <w:keepLines w:val="0"/>
                    <w:pageBreakBefore w:val="0"/>
                    <w:widowControl w:val="0"/>
                    <w:suppressLineNumbers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
                    </w:rPr>
                    <w:t>原则上避免在0类声环境功能区建设变电工程。</w:t>
                  </w:r>
                </w:p>
              </w:tc>
              <w:tc>
                <w:tcPr>
                  <w:tcW w:w="1355" w:type="pct"/>
                  <w:noWrap w:val="0"/>
                  <w:vAlign w:val="center"/>
                </w:tcPr>
                <w:p w14:paraId="105F7D83">
                  <w:pPr>
                    <w:pStyle w:val="25"/>
                    <w:keepNext w:val="0"/>
                    <w:keepLines w:val="0"/>
                    <w:pageBreakBefore w:val="0"/>
                    <w:widowControl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本项目</w:t>
                  </w:r>
                  <w:r>
                    <w:rPr>
                      <w:rFonts w:hint="eastAsia" w:ascii="Times New Roman" w:hAnsi="Times New Roman" w:eastAsia="宋体" w:cs="Times New Roman"/>
                      <w:color w:val="auto"/>
                      <w:kern w:val="2"/>
                      <w:sz w:val="21"/>
                      <w:szCs w:val="21"/>
                      <w:highlight w:val="none"/>
                      <w:vertAlign w:val="baseline"/>
                      <w:lang w:val="en-US" w:eastAsia="zh-CN" w:bidi="ar-SA"/>
                    </w:rPr>
                    <w:t>升压站</w:t>
                  </w:r>
                  <w:r>
                    <w:rPr>
                      <w:rFonts w:hint="default" w:ascii="Times New Roman" w:hAnsi="Times New Roman" w:eastAsia="宋体" w:cs="Times New Roman"/>
                      <w:color w:val="auto"/>
                      <w:kern w:val="2"/>
                      <w:sz w:val="21"/>
                      <w:szCs w:val="21"/>
                      <w:highlight w:val="none"/>
                      <w:vertAlign w:val="baseline"/>
                      <w:lang w:val="en-US" w:eastAsia="zh-CN" w:bidi="ar-SA"/>
                    </w:rPr>
                    <w:t>为</w:t>
                  </w:r>
                  <w:r>
                    <w:rPr>
                      <w:rFonts w:hint="eastAsia" w:ascii="Times New Roman" w:hAnsi="Times New Roman" w:eastAsia="宋体" w:cs="Times New Roman"/>
                      <w:color w:val="auto"/>
                      <w:kern w:val="2"/>
                      <w:sz w:val="21"/>
                      <w:szCs w:val="21"/>
                      <w:highlight w:val="none"/>
                      <w:vertAlign w:val="baseline"/>
                      <w:lang w:val="en-US" w:eastAsia="zh-CN" w:bidi="ar-SA"/>
                    </w:rPr>
                    <w:t>3</w:t>
                  </w:r>
                  <w:r>
                    <w:rPr>
                      <w:rFonts w:hint="default" w:ascii="Times New Roman" w:hAnsi="Times New Roman" w:eastAsia="宋体" w:cs="Times New Roman"/>
                      <w:color w:val="auto"/>
                      <w:kern w:val="2"/>
                      <w:sz w:val="21"/>
                      <w:szCs w:val="21"/>
                      <w:highlight w:val="none"/>
                      <w:vertAlign w:val="baseline"/>
                      <w:lang w:val="en-US" w:eastAsia="zh-CN" w:bidi="ar-SA"/>
                    </w:rPr>
                    <w:t>类声环境功能区域</w:t>
                  </w:r>
                </w:p>
              </w:tc>
              <w:tc>
                <w:tcPr>
                  <w:tcW w:w="602" w:type="pct"/>
                  <w:noWrap w:val="0"/>
                  <w:vAlign w:val="center"/>
                </w:tcPr>
                <w:p w14:paraId="6B1461FE">
                  <w:pPr>
                    <w:pStyle w:val="25"/>
                    <w:keepNext w:val="0"/>
                    <w:keepLines w:val="0"/>
                    <w:pageBreakBefore w:val="0"/>
                    <w:widowControl w:val="0"/>
                    <w:kinsoku/>
                    <w:wordWrap/>
                    <w:overflowPunct/>
                    <w:topLinePunct w:val="0"/>
                    <w:autoSpaceDE/>
                    <w:autoSpaceDN/>
                    <w:bidi w:val="0"/>
                    <w:snapToGrid/>
                    <w:spacing w:line="26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16483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32" w:type="pct"/>
                  <w:vMerge w:val="continue"/>
                  <w:noWrap w:val="0"/>
                  <w:vAlign w:val="center"/>
                </w:tcPr>
                <w:p w14:paraId="1E325CE6">
                  <w:pPr>
                    <w:pStyle w:val="25"/>
                    <w:keepNext w:val="0"/>
                    <w:keepLines w:val="0"/>
                    <w:pageBreakBefore w:val="0"/>
                    <w:widowControl w:val="0"/>
                    <w:kinsoku/>
                    <w:wordWrap/>
                    <w:overflowPunct/>
                    <w:topLinePunct w:val="0"/>
                    <w:autoSpaceDE/>
                    <w:autoSpaceDN/>
                    <w:bidi w:val="0"/>
                    <w:snapToGrid/>
                    <w:spacing w:line="260" w:lineRule="exact"/>
                    <w:rPr>
                      <w:rFonts w:hint="default" w:ascii="Times New Roman" w:hAnsi="Times New Roman" w:eastAsia="宋体" w:cs="Times New Roman"/>
                      <w:color w:val="auto"/>
                      <w:kern w:val="2"/>
                      <w:sz w:val="21"/>
                      <w:szCs w:val="21"/>
                      <w:highlight w:val="none"/>
                      <w:vertAlign w:val="baseline"/>
                      <w:lang w:val="en-US" w:eastAsia="zh-CN" w:bidi="ar-SA"/>
                    </w:rPr>
                  </w:pPr>
                </w:p>
              </w:tc>
              <w:tc>
                <w:tcPr>
                  <w:tcW w:w="2708" w:type="pct"/>
                  <w:gridSpan w:val="2"/>
                  <w:noWrap w:val="0"/>
                  <w:vAlign w:val="center"/>
                </w:tcPr>
                <w:p w14:paraId="4FA18F5F">
                  <w:pPr>
                    <w:keepNext w:val="0"/>
                    <w:keepLines w:val="0"/>
                    <w:pageBreakBefore w:val="0"/>
                    <w:widowControl w:val="0"/>
                    <w:suppressLineNumbers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变电工程选址时，应综合考虑减少土地占用、植被砍伐和弃土弃渣等，以减少对生态环境的不利影响。</w:t>
                  </w:r>
                </w:p>
              </w:tc>
              <w:tc>
                <w:tcPr>
                  <w:tcW w:w="1355" w:type="pct"/>
                  <w:noWrap w:val="0"/>
                  <w:vAlign w:val="center"/>
                </w:tcPr>
                <w:p w14:paraId="1E7D4712">
                  <w:pPr>
                    <w:pStyle w:val="25"/>
                    <w:keepNext w:val="0"/>
                    <w:keepLines w:val="0"/>
                    <w:pageBreakBefore w:val="0"/>
                    <w:widowControl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本项目</w:t>
                  </w:r>
                  <w:r>
                    <w:rPr>
                      <w:rFonts w:hint="eastAsia" w:ascii="Times New Roman" w:hAnsi="Times New Roman" w:eastAsia="宋体" w:cs="Times New Roman"/>
                      <w:color w:val="auto"/>
                      <w:kern w:val="2"/>
                      <w:sz w:val="21"/>
                      <w:szCs w:val="21"/>
                      <w:highlight w:val="none"/>
                      <w:vertAlign w:val="baseline"/>
                      <w:lang w:val="en-US" w:eastAsia="zh-CN" w:bidi="ar-SA"/>
                    </w:rPr>
                    <w:t>选址</w:t>
                  </w:r>
                  <w:r>
                    <w:rPr>
                      <w:rFonts w:hint="default" w:ascii="Times New Roman" w:hAnsi="Times New Roman" w:eastAsia="宋体" w:cs="Times New Roman"/>
                      <w:color w:val="auto"/>
                      <w:kern w:val="2"/>
                      <w:sz w:val="21"/>
                      <w:szCs w:val="21"/>
                      <w:highlight w:val="none"/>
                      <w:vertAlign w:val="baseline"/>
                      <w:lang w:val="en-US" w:eastAsia="zh-CN" w:bidi="ar-SA"/>
                    </w:rPr>
                    <w:t>时</w:t>
                  </w:r>
                  <w:r>
                    <w:rPr>
                      <w:rFonts w:hint="eastAsia" w:ascii="Times New Roman" w:hAnsi="Times New Roman" w:eastAsia="宋体" w:cs="Times New Roman"/>
                      <w:color w:val="auto"/>
                      <w:kern w:val="2"/>
                      <w:sz w:val="21"/>
                      <w:szCs w:val="21"/>
                      <w:highlight w:val="none"/>
                      <w:vertAlign w:val="baseline"/>
                      <w:lang w:val="en-US" w:eastAsia="zh-CN" w:bidi="ar-SA"/>
                    </w:rPr>
                    <w:t>已</w:t>
                  </w:r>
                  <w:r>
                    <w:rPr>
                      <w:rFonts w:hint="default" w:ascii="Times New Roman" w:hAnsi="Times New Roman" w:eastAsia="宋体" w:cs="Times New Roman"/>
                      <w:color w:val="auto"/>
                      <w:kern w:val="2"/>
                      <w:sz w:val="21"/>
                      <w:szCs w:val="21"/>
                      <w:highlight w:val="none"/>
                      <w:vertAlign w:val="baseline"/>
                      <w:lang w:val="en-US" w:eastAsia="zh-CN" w:bidi="ar-SA"/>
                    </w:rPr>
                    <w:t>尽可能减少占地及对植被的影响</w:t>
                  </w:r>
                </w:p>
              </w:tc>
              <w:tc>
                <w:tcPr>
                  <w:tcW w:w="602" w:type="pct"/>
                  <w:noWrap w:val="0"/>
                  <w:vAlign w:val="center"/>
                </w:tcPr>
                <w:p w14:paraId="097BDE48">
                  <w:pPr>
                    <w:pStyle w:val="25"/>
                    <w:keepNext w:val="0"/>
                    <w:keepLines w:val="0"/>
                    <w:pageBreakBefore w:val="0"/>
                    <w:widowControl w:val="0"/>
                    <w:kinsoku/>
                    <w:wordWrap/>
                    <w:overflowPunct/>
                    <w:topLinePunct w:val="0"/>
                    <w:autoSpaceDE/>
                    <w:autoSpaceDN/>
                    <w:bidi w:val="0"/>
                    <w:snapToGrid/>
                    <w:spacing w:line="26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204D0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332" w:type="pct"/>
                  <w:vMerge w:val="continue"/>
                  <w:noWrap w:val="0"/>
                  <w:vAlign w:val="center"/>
                </w:tcPr>
                <w:p w14:paraId="17C64759">
                  <w:pPr>
                    <w:pStyle w:val="25"/>
                    <w:keepNext w:val="0"/>
                    <w:keepLines w:val="0"/>
                    <w:pageBreakBefore w:val="0"/>
                    <w:widowControl w:val="0"/>
                    <w:kinsoku/>
                    <w:wordWrap/>
                    <w:overflowPunct/>
                    <w:topLinePunct w:val="0"/>
                    <w:autoSpaceDE/>
                    <w:autoSpaceDN/>
                    <w:bidi w:val="0"/>
                    <w:snapToGrid/>
                    <w:spacing w:line="260" w:lineRule="exact"/>
                    <w:rPr>
                      <w:rFonts w:hint="default" w:ascii="Times New Roman" w:hAnsi="Times New Roman" w:eastAsia="宋体" w:cs="Times New Roman"/>
                      <w:color w:val="auto"/>
                      <w:kern w:val="2"/>
                      <w:sz w:val="21"/>
                      <w:szCs w:val="21"/>
                      <w:highlight w:val="none"/>
                      <w:vertAlign w:val="baseline"/>
                      <w:lang w:val="en-US" w:eastAsia="zh-CN" w:bidi="ar-SA"/>
                    </w:rPr>
                  </w:pPr>
                </w:p>
              </w:tc>
              <w:tc>
                <w:tcPr>
                  <w:tcW w:w="2708" w:type="pct"/>
                  <w:gridSpan w:val="2"/>
                  <w:noWrap w:val="0"/>
                  <w:vAlign w:val="center"/>
                </w:tcPr>
                <w:p w14:paraId="5BB8896B">
                  <w:pPr>
                    <w:keepNext w:val="0"/>
                    <w:keepLines w:val="0"/>
                    <w:pageBreakBefore w:val="0"/>
                    <w:widowControl w:val="0"/>
                    <w:suppressLineNumbers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
                    </w:rPr>
                    <w:t>输电线路宜避让集中林区，以减少林木砍伐，保护生态环境。</w:t>
                  </w:r>
                </w:p>
              </w:tc>
              <w:tc>
                <w:tcPr>
                  <w:tcW w:w="1355" w:type="pct"/>
                  <w:noWrap w:val="0"/>
                  <w:vAlign w:val="center"/>
                </w:tcPr>
                <w:p w14:paraId="7FCDA108">
                  <w:pPr>
                    <w:pStyle w:val="25"/>
                    <w:keepNext w:val="0"/>
                    <w:keepLines w:val="0"/>
                    <w:pageBreakBefore w:val="0"/>
                    <w:widowControl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本项目不涉及输电线路</w:t>
                  </w:r>
                </w:p>
              </w:tc>
              <w:tc>
                <w:tcPr>
                  <w:tcW w:w="602" w:type="pct"/>
                  <w:noWrap w:val="0"/>
                  <w:vAlign w:val="center"/>
                </w:tcPr>
                <w:p w14:paraId="6F1E16DD">
                  <w:pPr>
                    <w:pStyle w:val="25"/>
                    <w:keepNext w:val="0"/>
                    <w:keepLines w:val="0"/>
                    <w:pageBreakBefore w:val="0"/>
                    <w:widowControl w:val="0"/>
                    <w:kinsoku/>
                    <w:wordWrap/>
                    <w:overflowPunct/>
                    <w:topLinePunct w:val="0"/>
                    <w:autoSpaceDE/>
                    <w:autoSpaceDN/>
                    <w:bidi w:val="0"/>
                    <w:snapToGrid/>
                    <w:spacing w:line="260" w:lineRule="exac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w:t>
                  </w:r>
                </w:p>
              </w:tc>
            </w:tr>
            <w:tr w14:paraId="22860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32" w:type="pct"/>
                  <w:vMerge w:val="continue"/>
                  <w:noWrap w:val="0"/>
                  <w:vAlign w:val="center"/>
                </w:tcPr>
                <w:p w14:paraId="5ED7CA27">
                  <w:pPr>
                    <w:pStyle w:val="25"/>
                    <w:keepNext w:val="0"/>
                    <w:keepLines w:val="0"/>
                    <w:pageBreakBefore w:val="0"/>
                    <w:widowControl w:val="0"/>
                    <w:kinsoku/>
                    <w:wordWrap/>
                    <w:overflowPunct/>
                    <w:topLinePunct w:val="0"/>
                    <w:autoSpaceDE/>
                    <w:autoSpaceDN/>
                    <w:bidi w:val="0"/>
                    <w:snapToGrid/>
                    <w:spacing w:line="260" w:lineRule="exact"/>
                    <w:rPr>
                      <w:rFonts w:hint="default" w:ascii="Times New Roman" w:hAnsi="Times New Roman" w:eastAsia="宋体" w:cs="Times New Roman"/>
                      <w:color w:val="auto"/>
                      <w:kern w:val="2"/>
                      <w:sz w:val="21"/>
                      <w:szCs w:val="21"/>
                      <w:highlight w:val="none"/>
                      <w:vertAlign w:val="baseline"/>
                      <w:lang w:val="en-US" w:eastAsia="zh-CN" w:bidi="ar-SA"/>
                    </w:rPr>
                  </w:pPr>
                </w:p>
              </w:tc>
              <w:tc>
                <w:tcPr>
                  <w:tcW w:w="2708" w:type="pct"/>
                  <w:gridSpan w:val="2"/>
                  <w:noWrap w:val="0"/>
                  <w:vAlign w:val="center"/>
                </w:tcPr>
                <w:p w14:paraId="2293B42E">
                  <w:pPr>
                    <w:keepNext w:val="0"/>
                    <w:keepLines w:val="0"/>
                    <w:pageBreakBefore w:val="0"/>
                    <w:widowControl w:val="0"/>
                    <w:suppressLineNumbers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进入自然保护区的输电线路，应按照HJ19的要求开展生态现状调查，避让保护对象的集中分布区。</w:t>
                  </w:r>
                </w:p>
              </w:tc>
              <w:tc>
                <w:tcPr>
                  <w:tcW w:w="1811" w:type="dxa"/>
                  <w:noWrap w:val="0"/>
                  <w:vAlign w:val="center"/>
                </w:tcPr>
                <w:p w14:paraId="6639D1A4">
                  <w:pPr>
                    <w:pStyle w:val="25"/>
                    <w:keepNext w:val="0"/>
                    <w:keepLines w:val="0"/>
                    <w:pageBreakBefore w:val="0"/>
                    <w:widowControl w:val="0"/>
                    <w:kinsoku/>
                    <w:wordWrap/>
                    <w:overflowPunct/>
                    <w:topLinePunct w:val="0"/>
                    <w:autoSpaceDE/>
                    <w:autoSpaceDN/>
                    <w:bidi w:val="0"/>
                    <w:snapToGrid/>
                    <w:spacing w:line="260" w:lineRule="exact"/>
                    <w:ind w:firstLine="0" w:firstLineChars="0"/>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本项目不涉及输电线路</w:t>
                  </w:r>
                </w:p>
              </w:tc>
              <w:tc>
                <w:tcPr>
                  <w:tcW w:w="804" w:type="dxa"/>
                  <w:noWrap w:val="0"/>
                  <w:vAlign w:val="center"/>
                </w:tcPr>
                <w:p w14:paraId="77495EAF">
                  <w:pPr>
                    <w:pStyle w:val="25"/>
                    <w:keepNext w:val="0"/>
                    <w:keepLines w:val="0"/>
                    <w:pageBreakBefore w:val="0"/>
                    <w:widowControl w:val="0"/>
                    <w:kinsoku/>
                    <w:wordWrap/>
                    <w:overflowPunct/>
                    <w:topLinePunct w:val="0"/>
                    <w:autoSpaceDE/>
                    <w:autoSpaceDN/>
                    <w:bidi w:val="0"/>
                    <w:snapToGrid/>
                    <w:spacing w:line="2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vertAlign w:val="baseline"/>
                      <w:lang w:val="en-US" w:eastAsia="zh-CN" w:bidi="ar-SA"/>
                    </w:rPr>
                    <w:t>-</w:t>
                  </w:r>
                </w:p>
              </w:tc>
            </w:tr>
            <w:tr w14:paraId="4BB73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3" w:hRule="atLeast"/>
                <w:jc w:val="center"/>
              </w:trPr>
              <w:tc>
                <w:tcPr>
                  <w:tcW w:w="332" w:type="pct"/>
                  <w:vMerge w:val="restart"/>
                  <w:noWrap w:val="0"/>
                  <w:vAlign w:val="center"/>
                </w:tcPr>
                <w:p w14:paraId="44A3CA1D">
                  <w:pPr>
                    <w:pStyle w:val="25"/>
                    <w:keepNext w:val="0"/>
                    <w:keepLines w:val="0"/>
                    <w:pageBreakBefore w:val="0"/>
                    <w:widowControl w:val="0"/>
                    <w:kinsoku/>
                    <w:wordWrap/>
                    <w:overflowPunct/>
                    <w:topLinePunct w:val="0"/>
                    <w:autoSpaceDE/>
                    <w:autoSpaceDN/>
                    <w:bidi w:val="0"/>
                    <w:snapToGrid/>
                    <w:spacing w:line="260" w:lineRule="exact"/>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设计</w:t>
                  </w:r>
                </w:p>
                <w:p w14:paraId="2E581259">
                  <w:pPr>
                    <w:pStyle w:val="25"/>
                    <w:keepNext w:val="0"/>
                    <w:keepLines w:val="0"/>
                    <w:pageBreakBefore w:val="0"/>
                    <w:widowControl w:val="0"/>
                    <w:kinsoku/>
                    <w:wordWrap/>
                    <w:overflowPunct/>
                    <w:topLinePunct w:val="0"/>
                    <w:autoSpaceDE/>
                    <w:autoSpaceDN/>
                    <w:bidi w:val="0"/>
                    <w:snapToGrid/>
                    <w:spacing w:line="260" w:lineRule="exact"/>
                    <w:rPr>
                      <w:rFonts w:hint="default" w:ascii="Times New Roman" w:hAnsi="Times New Roman" w:eastAsia="宋体" w:cs="Times New Roman"/>
                      <w:color w:val="auto"/>
                      <w:kern w:val="2"/>
                      <w:sz w:val="21"/>
                      <w:szCs w:val="21"/>
                      <w:highlight w:val="none"/>
                      <w:vertAlign w:val="baseline"/>
                      <w:lang w:val="en-US" w:eastAsia="zh-CN" w:bidi="ar-SA"/>
                    </w:rPr>
                  </w:pPr>
                </w:p>
                <w:p w14:paraId="15414252">
                  <w:pPr>
                    <w:pStyle w:val="25"/>
                    <w:keepNext w:val="0"/>
                    <w:keepLines w:val="0"/>
                    <w:pageBreakBefore w:val="0"/>
                    <w:widowControl w:val="0"/>
                    <w:kinsoku/>
                    <w:wordWrap/>
                    <w:overflowPunct/>
                    <w:topLinePunct w:val="0"/>
                    <w:autoSpaceDE/>
                    <w:autoSpaceDN/>
                    <w:bidi w:val="0"/>
                    <w:snapToGrid/>
                    <w:spacing w:line="260" w:lineRule="exact"/>
                    <w:rPr>
                      <w:rFonts w:hint="default" w:ascii="Times New Roman" w:hAnsi="Times New Roman" w:eastAsia="宋体" w:cs="Times New Roman"/>
                      <w:color w:val="auto"/>
                      <w:kern w:val="2"/>
                      <w:sz w:val="21"/>
                      <w:szCs w:val="21"/>
                      <w:highlight w:val="none"/>
                      <w:vertAlign w:val="baseline"/>
                      <w:lang w:val="en-US" w:eastAsia="zh-CN" w:bidi="ar-SA"/>
                    </w:rPr>
                  </w:pPr>
                </w:p>
              </w:tc>
              <w:tc>
                <w:tcPr>
                  <w:tcW w:w="315" w:type="pct"/>
                  <w:vMerge w:val="restart"/>
                  <w:noWrap w:val="0"/>
                  <w:vAlign w:val="center"/>
                </w:tcPr>
                <w:p w14:paraId="73B209EB">
                  <w:pPr>
                    <w:pStyle w:val="25"/>
                    <w:keepNext w:val="0"/>
                    <w:keepLines w:val="0"/>
                    <w:pageBreakBefore w:val="0"/>
                    <w:widowControl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总体要求</w:t>
                  </w:r>
                </w:p>
              </w:tc>
              <w:tc>
                <w:tcPr>
                  <w:tcW w:w="2393" w:type="pct"/>
                  <w:noWrap w:val="0"/>
                  <w:vAlign w:val="center"/>
                </w:tcPr>
                <w:p w14:paraId="6291FBE1">
                  <w:pPr>
                    <w:keepNext w:val="0"/>
                    <w:keepLines w:val="0"/>
                    <w:pageBreakBefore w:val="0"/>
                    <w:widowControl w:val="0"/>
                    <w:suppressLineNumbers w:val="0"/>
                    <w:kinsoku/>
                    <w:wordWrap/>
                    <w:overflowPunct/>
                    <w:topLinePunct w:val="0"/>
                    <w:autoSpaceDE/>
                    <w:autoSpaceDN/>
                    <w:bidi w:val="0"/>
                    <w:adjustRightInd/>
                    <w:snapToGrid/>
                    <w:spacing w:line="260" w:lineRule="exact"/>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pacing w:val="-6"/>
                      <w:kern w:val="2"/>
                      <w:sz w:val="21"/>
                      <w:szCs w:val="21"/>
                      <w:highlight w:val="none"/>
                      <w:vertAlign w:val="baseline"/>
                      <w:lang w:val="en-US" w:eastAsia="zh-CN" w:bidi="ar-SA"/>
                    </w:rPr>
                    <w:t>输电线路进入自然保护区实验区、饮用水水源二级保护区等环境敏感区时，应采取塔基定位避让、减少进入长度、控制导线高度等环境保护措施，减少对环境保护对象的不利影响。</w:t>
                  </w:r>
                </w:p>
              </w:tc>
              <w:tc>
                <w:tcPr>
                  <w:tcW w:w="1811" w:type="dxa"/>
                  <w:noWrap w:val="0"/>
                  <w:vAlign w:val="center"/>
                </w:tcPr>
                <w:p w14:paraId="4036315F">
                  <w:pPr>
                    <w:pStyle w:val="25"/>
                    <w:keepNext w:val="0"/>
                    <w:keepLines w:val="0"/>
                    <w:pageBreakBefore w:val="0"/>
                    <w:widowControl w:val="0"/>
                    <w:kinsoku/>
                    <w:wordWrap/>
                    <w:overflowPunct/>
                    <w:topLinePunct w:val="0"/>
                    <w:autoSpaceDE/>
                    <w:autoSpaceDN/>
                    <w:bidi w:val="0"/>
                    <w:snapToGrid/>
                    <w:spacing w:line="260" w:lineRule="exact"/>
                    <w:ind w:firstLine="0" w:firstLineChars="0"/>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本项目不涉及输电线路</w:t>
                  </w:r>
                </w:p>
              </w:tc>
              <w:tc>
                <w:tcPr>
                  <w:tcW w:w="804" w:type="dxa"/>
                  <w:noWrap w:val="0"/>
                  <w:vAlign w:val="center"/>
                </w:tcPr>
                <w:p w14:paraId="3845B4A7">
                  <w:pPr>
                    <w:pStyle w:val="25"/>
                    <w:keepNext w:val="0"/>
                    <w:keepLines w:val="0"/>
                    <w:pageBreakBefore w:val="0"/>
                    <w:widowControl w:val="0"/>
                    <w:kinsoku/>
                    <w:wordWrap/>
                    <w:overflowPunct/>
                    <w:topLinePunct w:val="0"/>
                    <w:autoSpaceDE/>
                    <w:autoSpaceDN/>
                    <w:bidi w:val="0"/>
                    <w:snapToGrid/>
                    <w:spacing w:line="260" w:lineRule="exact"/>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w:t>
                  </w:r>
                </w:p>
              </w:tc>
            </w:tr>
            <w:tr w14:paraId="4DF26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332" w:type="pct"/>
                  <w:vMerge w:val="continue"/>
                  <w:noWrap w:val="0"/>
                  <w:vAlign w:val="center"/>
                </w:tcPr>
                <w:p w14:paraId="39A30161">
                  <w:pPr>
                    <w:pStyle w:val="25"/>
                    <w:keepNext w:val="0"/>
                    <w:keepLines w:val="0"/>
                    <w:pageBreakBefore w:val="0"/>
                    <w:widowControl w:val="0"/>
                    <w:kinsoku/>
                    <w:wordWrap/>
                    <w:overflowPunct/>
                    <w:topLinePunct w:val="0"/>
                    <w:autoSpaceDE/>
                    <w:autoSpaceDN/>
                    <w:bidi w:val="0"/>
                    <w:snapToGrid/>
                    <w:spacing w:line="260" w:lineRule="exact"/>
                    <w:rPr>
                      <w:rFonts w:hint="default" w:ascii="Times New Roman" w:hAnsi="Times New Roman" w:eastAsia="宋体" w:cs="Times New Roman"/>
                      <w:color w:val="auto"/>
                      <w:kern w:val="2"/>
                      <w:sz w:val="21"/>
                      <w:szCs w:val="21"/>
                      <w:highlight w:val="none"/>
                      <w:vertAlign w:val="baseline"/>
                      <w:lang w:val="en-US" w:eastAsia="zh-CN" w:bidi="ar-SA"/>
                    </w:rPr>
                  </w:pPr>
                </w:p>
              </w:tc>
              <w:tc>
                <w:tcPr>
                  <w:tcW w:w="315" w:type="pct"/>
                  <w:vMerge w:val="continue"/>
                  <w:noWrap w:val="0"/>
                  <w:vAlign w:val="center"/>
                </w:tcPr>
                <w:p w14:paraId="701C5740">
                  <w:pPr>
                    <w:pStyle w:val="25"/>
                    <w:keepNext w:val="0"/>
                    <w:keepLines w:val="0"/>
                    <w:pageBreakBefore w:val="0"/>
                    <w:widowControl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p>
              </w:tc>
              <w:tc>
                <w:tcPr>
                  <w:tcW w:w="2393" w:type="pct"/>
                  <w:noWrap w:val="0"/>
                  <w:vAlign w:val="center"/>
                </w:tcPr>
                <w:p w14:paraId="7E1FD66B">
                  <w:pPr>
                    <w:keepNext w:val="0"/>
                    <w:keepLines w:val="0"/>
                    <w:pageBreakBefore w:val="0"/>
                    <w:widowControl w:val="0"/>
                    <w:suppressLineNumbers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pacing w:val="-6"/>
                      <w:kern w:val="0"/>
                      <w:sz w:val="21"/>
                      <w:szCs w:val="21"/>
                      <w:highlight w:val="none"/>
                      <w:lang w:val="en-US" w:eastAsia="zh-CN" w:bidi="ar"/>
                    </w:rPr>
                    <w:t>变电工程应设置足够容量的事故油池及其配套的拦截、防雨、防渗等措施和设施。一旦发生泄漏，应能及时进行拦截和处理，确保油和油水混合物全部收集、不外排。</w:t>
                  </w:r>
                </w:p>
              </w:tc>
              <w:tc>
                <w:tcPr>
                  <w:tcW w:w="1355" w:type="pct"/>
                  <w:noWrap w:val="0"/>
                  <w:vAlign w:val="center"/>
                </w:tcPr>
                <w:p w14:paraId="0A76C73B">
                  <w:pPr>
                    <w:pStyle w:val="25"/>
                    <w:keepNext w:val="0"/>
                    <w:keepLines w:val="0"/>
                    <w:pageBreakBefore w:val="0"/>
                    <w:widowControl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本项目事故油池容积</w:t>
                  </w:r>
                  <w:r>
                    <w:rPr>
                      <w:rFonts w:hint="default" w:ascii="Times New Roman" w:hAnsi="Times New Roman" w:cs="Times New Roman"/>
                      <w:sz w:val="21"/>
                      <w:szCs w:val="21"/>
                      <w:lang w:val="en-US" w:eastAsia="zh-CN"/>
                    </w:rPr>
                    <w:t>为</w:t>
                  </w:r>
                  <w:r>
                    <w:rPr>
                      <w:rFonts w:hint="eastAsia" w:ascii="Times New Roman" w:hAnsi="Times New Roman" w:cs="Times New Roman"/>
                      <w:sz w:val="21"/>
                      <w:szCs w:val="21"/>
                      <w:lang w:val="en-US" w:eastAsia="zh-CN"/>
                    </w:rPr>
                    <w:t>100</w:t>
                  </w:r>
                  <w:r>
                    <w:rPr>
                      <w:rFonts w:hint="default" w:ascii="Times New Roman" w:hAnsi="Times New Roman" w:cs="Times New Roman"/>
                      <w:sz w:val="21"/>
                      <w:szCs w:val="21"/>
                      <w:lang w:val="en-US" w:eastAsia="zh-CN"/>
                    </w:rPr>
                    <w:t>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w:t>
                  </w:r>
                  <w:r>
                    <w:rPr>
                      <w:rFonts w:hint="default" w:ascii="Times New Roman" w:hAnsi="Times New Roman" w:eastAsia="宋体" w:cs="Times New Roman"/>
                      <w:color w:val="auto"/>
                      <w:kern w:val="2"/>
                      <w:sz w:val="21"/>
                      <w:szCs w:val="21"/>
                      <w:highlight w:val="none"/>
                      <w:vertAlign w:val="baseline"/>
                      <w:lang w:val="en-US" w:eastAsia="zh-CN" w:bidi="ar-SA"/>
                    </w:rPr>
                    <w:t>满足最大单台变压器100%排油量要求。事故油池周边设有围堰，同时采取防雨、防渗等措施，确保油水混合物全部收集不外排</w:t>
                  </w:r>
                </w:p>
              </w:tc>
              <w:tc>
                <w:tcPr>
                  <w:tcW w:w="602" w:type="pct"/>
                  <w:noWrap w:val="0"/>
                  <w:vAlign w:val="center"/>
                </w:tcPr>
                <w:p w14:paraId="78A76937">
                  <w:pPr>
                    <w:pStyle w:val="25"/>
                    <w:keepNext w:val="0"/>
                    <w:keepLines w:val="0"/>
                    <w:pageBreakBefore w:val="0"/>
                    <w:widowControl w:val="0"/>
                    <w:kinsoku/>
                    <w:wordWrap/>
                    <w:overflowPunct/>
                    <w:topLinePunct w:val="0"/>
                    <w:autoSpaceDE/>
                    <w:autoSpaceDN/>
                    <w:bidi w:val="0"/>
                    <w:snapToGrid/>
                    <w:spacing w:line="260" w:lineRule="exac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符合</w:t>
                  </w:r>
                </w:p>
              </w:tc>
            </w:tr>
            <w:tr w14:paraId="22C77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332" w:type="pct"/>
                  <w:vMerge w:val="continue"/>
                  <w:noWrap w:val="0"/>
                  <w:vAlign w:val="center"/>
                </w:tcPr>
                <w:p w14:paraId="6DBBCE19">
                  <w:pPr>
                    <w:pStyle w:val="25"/>
                    <w:keepNext w:val="0"/>
                    <w:keepLines w:val="0"/>
                    <w:pageBreakBefore w:val="0"/>
                    <w:widowControl w:val="0"/>
                    <w:kinsoku/>
                    <w:wordWrap/>
                    <w:overflowPunct/>
                    <w:topLinePunct w:val="0"/>
                    <w:autoSpaceDE/>
                    <w:autoSpaceDN/>
                    <w:bidi w:val="0"/>
                    <w:snapToGrid/>
                    <w:spacing w:line="260" w:lineRule="exact"/>
                    <w:rPr>
                      <w:rFonts w:hint="default" w:ascii="Times New Roman" w:hAnsi="Times New Roman" w:eastAsia="宋体" w:cs="Times New Roman"/>
                      <w:color w:val="auto"/>
                      <w:kern w:val="2"/>
                      <w:sz w:val="21"/>
                      <w:szCs w:val="21"/>
                      <w:highlight w:val="none"/>
                      <w:vertAlign w:val="baseline"/>
                      <w:lang w:val="en-US" w:eastAsia="zh-CN" w:bidi="ar-SA"/>
                    </w:rPr>
                  </w:pPr>
                </w:p>
              </w:tc>
              <w:tc>
                <w:tcPr>
                  <w:tcW w:w="315" w:type="pct"/>
                  <w:vMerge w:val="restart"/>
                  <w:noWrap w:val="0"/>
                  <w:vAlign w:val="center"/>
                </w:tcPr>
                <w:p w14:paraId="7F919C78">
                  <w:pPr>
                    <w:pStyle w:val="25"/>
                    <w:keepNext w:val="0"/>
                    <w:keepLines w:val="0"/>
                    <w:pageBreakBefore w:val="0"/>
                    <w:widowControl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电磁环境保护</w:t>
                  </w:r>
                </w:p>
              </w:tc>
              <w:tc>
                <w:tcPr>
                  <w:tcW w:w="2393" w:type="pct"/>
                  <w:noWrap w:val="0"/>
                  <w:vAlign w:val="center"/>
                </w:tcPr>
                <w:p w14:paraId="40527EF5">
                  <w:pPr>
                    <w:keepNext w:val="0"/>
                    <w:keepLines w:val="0"/>
                    <w:pageBreakBefore w:val="0"/>
                    <w:widowControl w:val="0"/>
                    <w:suppressLineNumbers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输电线路设计应因地制宜选择线路型式、架设高度、杆塔塔型、导线参数、相序布置等，减少电磁环境影响。</w:t>
                  </w:r>
                </w:p>
              </w:tc>
              <w:tc>
                <w:tcPr>
                  <w:tcW w:w="1811" w:type="dxa"/>
                  <w:noWrap w:val="0"/>
                  <w:vAlign w:val="center"/>
                </w:tcPr>
                <w:p w14:paraId="30B75940">
                  <w:pPr>
                    <w:pStyle w:val="25"/>
                    <w:keepNext w:val="0"/>
                    <w:keepLines w:val="0"/>
                    <w:pageBreakBefore w:val="0"/>
                    <w:widowControl w:val="0"/>
                    <w:kinsoku/>
                    <w:wordWrap/>
                    <w:overflowPunct/>
                    <w:topLinePunct w:val="0"/>
                    <w:autoSpaceDE/>
                    <w:autoSpaceDN/>
                    <w:bidi w:val="0"/>
                    <w:snapToGrid/>
                    <w:spacing w:line="260" w:lineRule="exact"/>
                    <w:ind w:firstLine="0" w:firstLineChars="0"/>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本项目不涉及输电线路</w:t>
                  </w:r>
                </w:p>
              </w:tc>
              <w:tc>
                <w:tcPr>
                  <w:tcW w:w="804" w:type="dxa"/>
                  <w:noWrap w:val="0"/>
                  <w:vAlign w:val="center"/>
                </w:tcPr>
                <w:p w14:paraId="0E722EAB">
                  <w:pPr>
                    <w:pStyle w:val="25"/>
                    <w:keepNext w:val="0"/>
                    <w:keepLines w:val="0"/>
                    <w:pageBreakBefore w:val="0"/>
                    <w:widowControl w:val="0"/>
                    <w:kinsoku/>
                    <w:wordWrap/>
                    <w:overflowPunct/>
                    <w:topLinePunct w:val="0"/>
                    <w:autoSpaceDE/>
                    <w:autoSpaceDN/>
                    <w:bidi w:val="0"/>
                    <w:snapToGrid/>
                    <w:spacing w:line="260" w:lineRule="exact"/>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w:t>
                  </w:r>
                </w:p>
              </w:tc>
            </w:tr>
            <w:tr w14:paraId="44E8A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332" w:type="pct"/>
                  <w:vMerge w:val="continue"/>
                  <w:noWrap w:val="0"/>
                  <w:vAlign w:val="center"/>
                </w:tcPr>
                <w:p w14:paraId="417C7EED">
                  <w:pPr>
                    <w:pStyle w:val="25"/>
                    <w:keepNext w:val="0"/>
                    <w:keepLines w:val="0"/>
                    <w:pageBreakBefore w:val="0"/>
                    <w:widowControl w:val="0"/>
                    <w:kinsoku/>
                    <w:wordWrap/>
                    <w:overflowPunct/>
                    <w:topLinePunct w:val="0"/>
                    <w:autoSpaceDE/>
                    <w:autoSpaceDN/>
                    <w:bidi w:val="0"/>
                    <w:snapToGrid/>
                    <w:spacing w:line="260" w:lineRule="exact"/>
                    <w:rPr>
                      <w:rFonts w:hint="default" w:ascii="Times New Roman" w:hAnsi="Times New Roman" w:eastAsia="宋体" w:cs="Times New Roman"/>
                      <w:color w:val="auto"/>
                      <w:kern w:val="2"/>
                      <w:sz w:val="21"/>
                      <w:szCs w:val="21"/>
                      <w:highlight w:val="none"/>
                      <w:vertAlign w:val="baseline"/>
                      <w:lang w:val="en-US" w:eastAsia="zh-CN" w:bidi="ar-SA"/>
                    </w:rPr>
                  </w:pPr>
                </w:p>
              </w:tc>
              <w:tc>
                <w:tcPr>
                  <w:tcW w:w="315" w:type="pct"/>
                  <w:vMerge w:val="continue"/>
                  <w:noWrap w:val="0"/>
                  <w:vAlign w:val="center"/>
                </w:tcPr>
                <w:p w14:paraId="67C7A261">
                  <w:pPr>
                    <w:pStyle w:val="25"/>
                    <w:keepNext w:val="0"/>
                    <w:keepLines w:val="0"/>
                    <w:pageBreakBefore w:val="0"/>
                    <w:widowControl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p>
              </w:tc>
              <w:tc>
                <w:tcPr>
                  <w:tcW w:w="2393" w:type="pct"/>
                  <w:noWrap w:val="0"/>
                  <w:vAlign w:val="center"/>
                </w:tcPr>
                <w:p w14:paraId="0E93EEFE">
                  <w:pPr>
                    <w:pStyle w:val="25"/>
                    <w:keepNext w:val="0"/>
                    <w:keepLines w:val="0"/>
                    <w:pageBreakBefore w:val="0"/>
                    <w:widowControl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架空输电线路经过电磁环境敏感目标时，应采取避让或增加导线对地高度等措施，减少电磁环境影响。</w:t>
                  </w:r>
                </w:p>
              </w:tc>
              <w:tc>
                <w:tcPr>
                  <w:tcW w:w="1811" w:type="dxa"/>
                  <w:noWrap w:val="0"/>
                  <w:vAlign w:val="center"/>
                </w:tcPr>
                <w:p w14:paraId="6D759D38">
                  <w:pPr>
                    <w:pStyle w:val="25"/>
                    <w:keepNext w:val="0"/>
                    <w:keepLines w:val="0"/>
                    <w:pageBreakBefore w:val="0"/>
                    <w:widowControl w:val="0"/>
                    <w:kinsoku/>
                    <w:wordWrap/>
                    <w:overflowPunct/>
                    <w:topLinePunct w:val="0"/>
                    <w:autoSpaceDE/>
                    <w:autoSpaceDN/>
                    <w:bidi w:val="0"/>
                    <w:snapToGrid/>
                    <w:spacing w:line="260" w:lineRule="exact"/>
                    <w:ind w:firstLine="0" w:firstLineChars="0"/>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本项目不涉及输电线路</w:t>
                  </w:r>
                </w:p>
              </w:tc>
              <w:tc>
                <w:tcPr>
                  <w:tcW w:w="804" w:type="dxa"/>
                  <w:noWrap w:val="0"/>
                  <w:vAlign w:val="center"/>
                </w:tcPr>
                <w:p w14:paraId="6D7B7ED5">
                  <w:pPr>
                    <w:pStyle w:val="25"/>
                    <w:keepNext w:val="0"/>
                    <w:keepLines w:val="0"/>
                    <w:pageBreakBefore w:val="0"/>
                    <w:widowControl w:val="0"/>
                    <w:kinsoku/>
                    <w:wordWrap/>
                    <w:overflowPunct/>
                    <w:topLinePunct w:val="0"/>
                    <w:autoSpaceDE/>
                    <w:autoSpaceDN/>
                    <w:bidi w:val="0"/>
                    <w:snapToGrid/>
                    <w:spacing w:line="260" w:lineRule="exact"/>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w:t>
                  </w:r>
                </w:p>
              </w:tc>
            </w:tr>
            <w:tr w14:paraId="3EA94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332" w:type="pct"/>
                  <w:vMerge w:val="continue"/>
                  <w:noWrap w:val="0"/>
                  <w:vAlign w:val="center"/>
                </w:tcPr>
                <w:p w14:paraId="6BD5DDDA">
                  <w:pPr>
                    <w:pStyle w:val="25"/>
                    <w:keepNext w:val="0"/>
                    <w:keepLines w:val="0"/>
                    <w:pageBreakBefore w:val="0"/>
                    <w:widowControl w:val="0"/>
                    <w:kinsoku/>
                    <w:wordWrap/>
                    <w:overflowPunct/>
                    <w:topLinePunct w:val="0"/>
                    <w:autoSpaceDE/>
                    <w:autoSpaceDN/>
                    <w:bidi w:val="0"/>
                    <w:snapToGrid/>
                    <w:spacing w:line="260" w:lineRule="exact"/>
                    <w:rPr>
                      <w:rFonts w:hint="default" w:ascii="Times New Roman" w:hAnsi="Times New Roman" w:eastAsia="宋体" w:cs="Times New Roman"/>
                      <w:color w:val="auto"/>
                      <w:kern w:val="2"/>
                      <w:sz w:val="21"/>
                      <w:szCs w:val="21"/>
                      <w:highlight w:val="none"/>
                      <w:vertAlign w:val="baseline"/>
                      <w:lang w:val="en-US" w:eastAsia="zh-CN" w:bidi="ar-SA"/>
                    </w:rPr>
                  </w:pPr>
                </w:p>
              </w:tc>
              <w:tc>
                <w:tcPr>
                  <w:tcW w:w="315" w:type="pct"/>
                  <w:vMerge w:val="continue"/>
                  <w:noWrap w:val="0"/>
                  <w:vAlign w:val="center"/>
                </w:tcPr>
                <w:p w14:paraId="56D486EA">
                  <w:pPr>
                    <w:pStyle w:val="25"/>
                    <w:keepNext w:val="0"/>
                    <w:keepLines w:val="0"/>
                    <w:pageBreakBefore w:val="0"/>
                    <w:widowControl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p>
              </w:tc>
              <w:tc>
                <w:tcPr>
                  <w:tcW w:w="2393" w:type="pct"/>
                  <w:noWrap w:val="0"/>
                  <w:vAlign w:val="center"/>
                </w:tcPr>
                <w:p w14:paraId="1430F08F">
                  <w:pPr>
                    <w:pStyle w:val="25"/>
                    <w:keepNext w:val="0"/>
                    <w:keepLines w:val="0"/>
                    <w:pageBreakBefore w:val="0"/>
                    <w:widowControl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pacing w:val="-6"/>
                      <w:kern w:val="0"/>
                      <w:sz w:val="21"/>
                      <w:szCs w:val="21"/>
                      <w:highlight w:val="none"/>
                      <w:lang w:val="en-US" w:eastAsia="zh-CN" w:bidi="ar"/>
                    </w:rPr>
                    <w:t>新建城市电力线路在市中心地区、高层建筑群区、市区主干路、人口密集区、繁华街道等区域应采用地下电缆，减少电磁环境影响。</w:t>
                  </w:r>
                </w:p>
              </w:tc>
              <w:tc>
                <w:tcPr>
                  <w:tcW w:w="1811" w:type="dxa"/>
                  <w:noWrap w:val="0"/>
                  <w:vAlign w:val="center"/>
                </w:tcPr>
                <w:p w14:paraId="2C51C722">
                  <w:pPr>
                    <w:pStyle w:val="25"/>
                    <w:keepNext w:val="0"/>
                    <w:keepLines w:val="0"/>
                    <w:pageBreakBefore w:val="0"/>
                    <w:widowControl w:val="0"/>
                    <w:kinsoku/>
                    <w:wordWrap/>
                    <w:overflowPunct/>
                    <w:topLinePunct w:val="0"/>
                    <w:autoSpaceDE/>
                    <w:autoSpaceDN/>
                    <w:bidi w:val="0"/>
                    <w:snapToGrid/>
                    <w:spacing w:line="260" w:lineRule="exact"/>
                    <w:ind w:firstLine="0" w:firstLineChars="0"/>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本项目不涉及输电线路</w:t>
                  </w:r>
                </w:p>
              </w:tc>
              <w:tc>
                <w:tcPr>
                  <w:tcW w:w="804" w:type="dxa"/>
                  <w:noWrap w:val="0"/>
                  <w:vAlign w:val="center"/>
                </w:tcPr>
                <w:p w14:paraId="10DD4816">
                  <w:pPr>
                    <w:pStyle w:val="25"/>
                    <w:keepNext w:val="0"/>
                    <w:keepLines w:val="0"/>
                    <w:pageBreakBefore w:val="0"/>
                    <w:widowControl w:val="0"/>
                    <w:kinsoku/>
                    <w:wordWrap/>
                    <w:overflowPunct/>
                    <w:topLinePunct w:val="0"/>
                    <w:autoSpaceDE/>
                    <w:autoSpaceDN/>
                    <w:bidi w:val="0"/>
                    <w:snapToGrid/>
                    <w:spacing w:line="2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vertAlign w:val="baseline"/>
                      <w:lang w:val="en-US" w:eastAsia="zh-CN" w:bidi="ar-SA"/>
                    </w:rPr>
                    <w:t>-</w:t>
                  </w:r>
                </w:p>
              </w:tc>
            </w:tr>
            <w:tr w14:paraId="10545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32" w:type="pct"/>
                  <w:vMerge w:val="continue"/>
                  <w:noWrap w:val="0"/>
                  <w:vAlign w:val="center"/>
                </w:tcPr>
                <w:p w14:paraId="0292B223">
                  <w:pPr>
                    <w:pStyle w:val="25"/>
                    <w:keepNext w:val="0"/>
                    <w:keepLines w:val="0"/>
                    <w:pageBreakBefore w:val="0"/>
                    <w:widowControl w:val="0"/>
                    <w:kinsoku/>
                    <w:wordWrap/>
                    <w:overflowPunct/>
                    <w:topLinePunct w:val="0"/>
                    <w:autoSpaceDE/>
                    <w:autoSpaceDN/>
                    <w:bidi w:val="0"/>
                    <w:snapToGrid/>
                    <w:spacing w:line="260" w:lineRule="exact"/>
                    <w:rPr>
                      <w:rFonts w:hint="default" w:ascii="Times New Roman" w:hAnsi="Times New Roman" w:eastAsia="宋体" w:cs="Times New Roman"/>
                      <w:color w:val="auto"/>
                      <w:kern w:val="2"/>
                      <w:sz w:val="21"/>
                      <w:szCs w:val="21"/>
                      <w:highlight w:val="none"/>
                      <w:vertAlign w:val="baseline"/>
                      <w:lang w:val="en-US" w:eastAsia="zh-CN" w:bidi="ar-SA"/>
                    </w:rPr>
                  </w:pPr>
                </w:p>
              </w:tc>
              <w:tc>
                <w:tcPr>
                  <w:tcW w:w="315" w:type="pct"/>
                  <w:vMerge w:val="continue"/>
                  <w:noWrap w:val="0"/>
                  <w:vAlign w:val="center"/>
                </w:tcPr>
                <w:p w14:paraId="75783194">
                  <w:pPr>
                    <w:pStyle w:val="25"/>
                    <w:keepNext w:val="0"/>
                    <w:keepLines w:val="0"/>
                    <w:pageBreakBefore w:val="0"/>
                    <w:widowControl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p>
              </w:tc>
              <w:tc>
                <w:tcPr>
                  <w:tcW w:w="2393" w:type="pct"/>
                  <w:noWrap w:val="0"/>
                  <w:vAlign w:val="center"/>
                </w:tcPr>
                <w:p w14:paraId="3FDE4E90">
                  <w:pPr>
                    <w:pStyle w:val="25"/>
                    <w:keepNext w:val="0"/>
                    <w:keepLines w:val="0"/>
                    <w:pageBreakBefore w:val="0"/>
                    <w:widowControl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pacing w:val="-6"/>
                      <w:kern w:val="0"/>
                      <w:sz w:val="21"/>
                      <w:szCs w:val="21"/>
                      <w:highlight w:val="none"/>
                      <w:lang w:val="en-US" w:eastAsia="zh-CN" w:bidi="ar"/>
                    </w:rPr>
                    <w:t>变电工程的布置设计应考虑进出线对周围电磁环境的影响。</w:t>
                  </w:r>
                </w:p>
              </w:tc>
              <w:tc>
                <w:tcPr>
                  <w:tcW w:w="1355" w:type="pct"/>
                  <w:noWrap w:val="0"/>
                  <w:vAlign w:val="center"/>
                </w:tcPr>
                <w:p w14:paraId="6AACCA19">
                  <w:pPr>
                    <w:pStyle w:val="25"/>
                    <w:keepNext w:val="0"/>
                    <w:keepLines w:val="0"/>
                    <w:pageBreakBefore w:val="0"/>
                    <w:widowControl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本项目</w:t>
                  </w:r>
                  <w:r>
                    <w:rPr>
                      <w:rFonts w:hint="eastAsia" w:ascii="Times New Roman" w:hAnsi="Times New Roman" w:eastAsia="宋体" w:cs="Times New Roman"/>
                      <w:color w:val="auto"/>
                      <w:kern w:val="2"/>
                      <w:sz w:val="21"/>
                      <w:szCs w:val="21"/>
                      <w:highlight w:val="none"/>
                      <w:vertAlign w:val="baseline"/>
                      <w:lang w:val="en-US" w:eastAsia="zh-CN" w:bidi="ar-SA"/>
                    </w:rPr>
                    <w:t>升压站的</w:t>
                  </w:r>
                  <w:r>
                    <w:rPr>
                      <w:rFonts w:hint="default" w:ascii="Times New Roman" w:hAnsi="Times New Roman" w:eastAsia="宋体" w:cs="Times New Roman"/>
                      <w:color w:val="auto"/>
                      <w:kern w:val="2"/>
                      <w:sz w:val="21"/>
                      <w:szCs w:val="21"/>
                      <w:highlight w:val="none"/>
                      <w:vertAlign w:val="baseline"/>
                      <w:lang w:val="en-US" w:eastAsia="zh-CN" w:bidi="ar-SA"/>
                    </w:rPr>
                    <w:t>建设对周围电磁环境影响较小</w:t>
                  </w:r>
                </w:p>
              </w:tc>
              <w:tc>
                <w:tcPr>
                  <w:tcW w:w="602" w:type="pct"/>
                  <w:noWrap w:val="0"/>
                  <w:vAlign w:val="center"/>
                </w:tcPr>
                <w:p w14:paraId="051E2FDE">
                  <w:pPr>
                    <w:pStyle w:val="25"/>
                    <w:keepNext w:val="0"/>
                    <w:keepLines w:val="0"/>
                    <w:pageBreakBefore w:val="0"/>
                    <w:widowControl w:val="0"/>
                    <w:kinsoku/>
                    <w:wordWrap/>
                    <w:overflowPunct/>
                    <w:topLinePunct w:val="0"/>
                    <w:autoSpaceDE/>
                    <w:autoSpaceDN/>
                    <w:bidi w:val="0"/>
                    <w:snapToGrid/>
                    <w:spacing w:line="260" w:lineRule="exac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符合</w:t>
                  </w:r>
                </w:p>
              </w:tc>
            </w:tr>
            <w:tr w14:paraId="35347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6" w:hRule="atLeast"/>
                <w:jc w:val="center"/>
              </w:trPr>
              <w:tc>
                <w:tcPr>
                  <w:tcW w:w="332" w:type="pct"/>
                  <w:vMerge w:val="continue"/>
                  <w:noWrap w:val="0"/>
                  <w:vAlign w:val="center"/>
                </w:tcPr>
                <w:p w14:paraId="232D32CD">
                  <w:pPr>
                    <w:pStyle w:val="25"/>
                    <w:keepNext w:val="0"/>
                    <w:keepLines w:val="0"/>
                    <w:pageBreakBefore w:val="0"/>
                    <w:widowControl w:val="0"/>
                    <w:kinsoku/>
                    <w:wordWrap/>
                    <w:overflowPunct/>
                    <w:topLinePunct w:val="0"/>
                    <w:autoSpaceDE/>
                    <w:autoSpaceDN/>
                    <w:bidi w:val="0"/>
                    <w:snapToGrid/>
                    <w:spacing w:line="260" w:lineRule="exact"/>
                    <w:rPr>
                      <w:rFonts w:hint="default" w:ascii="Times New Roman" w:hAnsi="Times New Roman" w:eastAsia="宋体" w:cs="Times New Roman"/>
                      <w:color w:val="auto"/>
                      <w:kern w:val="2"/>
                      <w:sz w:val="21"/>
                      <w:szCs w:val="21"/>
                      <w:highlight w:val="none"/>
                      <w:vertAlign w:val="baseline"/>
                      <w:lang w:val="en-US" w:eastAsia="zh-CN" w:bidi="ar-SA"/>
                    </w:rPr>
                  </w:pPr>
                </w:p>
              </w:tc>
              <w:tc>
                <w:tcPr>
                  <w:tcW w:w="315" w:type="pct"/>
                  <w:vMerge w:val="restart"/>
                  <w:noWrap w:val="0"/>
                  <w:vAlign w:val="center"/>
                </w:tcPr>
                <w:p w14:paraId="46FE1713">
                  <w:pPr>
                    <w:pStyle w:val="25"/>
                    <w:keepNext w:val="0"/>
                    <w:keepLines w:val="0"/>
                    <w:pageBreakBefore w:val="0"/>
                    <w:widowControl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声环境保护</w:t>
                  </w:r>
                </w:p>
              </w:tc>
              <w:tc>
                <w:tcPr>
                  <w:tcW w:w="2393" w:type="pct"/>
                  <w:noWrap w:val="0"/>
                  <w:vAlign w:val="center"/>
                </w:tcPr>
                <w:p w14:paraId="0B6BE24D">
                  <w:pPr>
                    <w:keepNext w:val="0"/>
                    <w:keepLines w:val="0"/>
                    <w:pageBreakBefore w:val="0"/>
                    <w:widowControl w:val="0"/>
                    <w:suppressLineNumbers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pacing w:val="-6"/>
                      <w:kern w:val="0"/>
                      <w:sz w:val="21"/>
                      <w:szCs w:val="21"/>
                      <w:highlight w:val="none"/>
                      <w:lang w:val="en-US" w:eastAsia="zh-CN" w:bidi="ar"/>
                    </w:rPr>
                    <w:t>变电工程噪声控制设计应首先从噪声源强上进行控制，选择低噪声设备；对于声源上无法根治的噪声，应采用隔声、吸声、消声、防振、减振等降噪措施，确保厂界排放噪声和周围声环境敏感目标分别满足GB12348和GB3096要求。</w:t>
                  </w:r>
                </w:p>
              </w:tc>
              <w:tc>
                <w:tcPr>
                  <w:tcW w:w="1355" w:type="pct"/>
                  <w:noWrap w:val="0"/>
                  <w:vAlign w:val="center"/>
                </w:tcPr>
                <w:p w14:paraId="448AF4EB">
                  <w:pPr>
                    <w:pStyle w:val="25"/>
                    <w:keepNext w:val="0"/>
                    <w:keepLines w:val="0"/>
                    <w:pageBreakBefore w:val="0"/>
                    <w:widowControl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pacing w:val="-6"/>
                      <w:kern w:val="2"/>
                      <w:sz w:val="21"/>
                      <w:szCs w:val="21"/>
                      <w:highlight w:val="none"/>
                      <w:vertAlign w:val="baseline"/>
                      <w:lang w:val="en-US" w:eastAsia="zh-CN" w:bidi="ar-SA"/>
                    </w:rPr>
                    <w:t>本项目</w:t>
                  </w:r>
                  <w:r>
                    <w:rPr>
                      <w:rFonts w:hint="eastAsia" w:ascii="Times New Roman" w:hAnsi="Times New Roman" w:eastAsia="宋体" w:cs="Times New Roman"/>
                      <w:color w:val="auto"/>
                      <w:spacing w:val="-6"/>
                      <w:kern w:val="2"/>
                      <w:sz w:val="21"/>
                      <w:szCs w:val="21"/>
                      <w:highlight w:val="none"/>
                      <w:vertAlign w:val="baseline"/>
                      <w:lang w:val="en-US" w:eastAsia="zh-CN" w:bidi="ar-SA"/>
                    </w:rPr>
                    <w:t>升压站</w:t>
                  </w:r>
                  <w:r>
                    <w:rPr>
                      <w:rFonts w:hint="default" w:ascii="Times New Roman" w:hAnsi="Times New Roman" w:eastAsia="宋体" w:cs="Times New Roman"/>
                      <w:color w:val="auto"/>
                      <w:spacing w:val="-6"/>
                      <w:kern w:val="2"/>
                      <w:sz w:val="21"/>
                      <w:szCs w:val="21"/>
                      <w:highlight w:val="none"/>
                      <w:vertAlign w:val="baseline"/>
                      <w:lang w:val="en-US" w:eastAsia="zh-CN" w:bidi="ar-SA"/>
                    </w:rPr>
                    <w:t>运行噪声对周围环境影响较小</w:t>
                  </w:r>
                </w:p>
              </w:tc>
              <w:tc>
                <w:tcPr>
                  <w:tcW w:w="602" w:type="pct"/>
                  <w:noWrap w:val="0"/>
                  <w:vAlign w:val="center"/>
                </w:tcPr>
                <w:p w14:paraId="7F667FD9">
                  <w:pPr>
                    <w:pStyle w:val="25"/>
                    <w:keepNext w:val="0"/>
                    <w:keepLines w:val="0"/>
                    <w:pageBreakBefore w:val="0"/>
                    <w:widowControl w:val="0"/>
                    <w:kinsoku/>
                    <w:wordWrap/>
                    <w:overflowPunct/>
                    <w:topLinePunct w:val="0"/>
                    <w:autoSpaceDE/>
                    <w:autoSpaceDN/>
                    <w:bidi w:val="0"/>
                    <w:snapToGrid/>
                    <w:spacing w:line="260" w:lineRule="exac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符合</w:t>
                  </w:r>
                </w:p>
              </w:tc>
            </w:tr>
            <w:tr w14:paraId="7D0FE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332" w:type="pct"/>
                  <w:vMerge w:val="continue"/>
                  <w:noWrap w:val="0"/>
                  <w:vAlign w:val="center"/>
                </w:tcPr>
                <w:p w14:paraId="6AACF7C3">
                  <w:pPr>
                    <w:pStyle w:val="25"/>
                    <w:keepNext w:val="0"/>
                    <w:keepLines w:val="0"/>
                    <w:pageBreakBefore w:val="0"/>
                    <w:widowControl w:val="0"/>
                    <w:kinsoku/>
                    <w:wordWrap/>
                    <w:overflowPunct/>
                    <w:topLinePunct w:val="0"/>
                    <w:autoSpaceDE/>
                    <w:autoSpaceDN/>
                    <w:bidi w:val="0"/>
                    <w:snapToGrid/>
                    <w:spacing w:line="260" w:lineRule="exact"/>
                    <w:rPr>
                      <w:rFonts w:hint="default" w:ascii="Times New Roman" w:hAnsi="Times New Roman" w:eastAsia="宋体" w:cs="Times New Roman"/>
                      <w:color w:val="auto"/>
                      <w:kern w:val="2"/>
                      <w:sz w:val="21"/>
                      <w:szCs w:val="21"/>
                      <w:highlight w:val="none"/>
                      <w:vertAlign w:val="baseline"/>
                      <w:lang w:val="en-US" w:eastAsia="zh-CN" w:bidi="ar-SA"/>
                    </w:rPr>
                  </w:pPr>
                </w:p>
              </w:tc>
              <w:tc>
                <w:tcPr>
                  <w:tcW w:w="315" w:type="pct"/>
                  <w:vMerge w:val="continue"/>
                  <w:noWrap w:val="0"/>
                  <w:vAlign w:val="center"/>
                </w:tcPr>
                <w:p w14:paraId="3DF62AD8">
                  <w:pPr>
                    <w:pStyle w:val="25"/>
                    <w:keepNext w:val="0"/>
                    <w:keepLines w:val="0"/>
                    <w:pageBreakBefore w:val="0"/>
                    <w:widowControl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p>
              </w:tc>
              <w:tc>
                <w:tcPr>
                  <w:tcW w:w="2393" w:type="pct"/>
                  <w:noWrap w:val="0"/>
                  <w:vAlign w:val="center"/>
                </w:tcPr>
                <w:p w14:paraId="3DCEBB51">
                  <w:pPr>
                    <w:keepNext w:val="0"/>
                    <w:keepLines w:val="0"/>
                    <w:pageBreakBefore w:val="0"/>
                    <w:widowControl w:val="0"/>
                    <w:suppressLineNumbers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pacing w:val="-6"/>
                      <w:kern w:val="0"/>
                      <w:sz w:val="21"/>
                      <w:szCs w:val="21"/>
                      <w:highlight w:val="none"/>
                      <w:lang w:val="en-US" w:eastAsia="zh-CN" w:bidi="ar"/>
                    </w:rPr>
                    <w:t>户外变电工程总体布置应综合考虑声环境影响因素，合理规划，利用建筑物、地形等阻挡噪声传播，减少对声环境敏感目标的影响。</w:t>
                  </w:r>
                </w:p>
              </w:tc>
              <w:tc>
                <w:tcPr>
                  <w:tcW w:w="1355" w:type="pct"/>
                  <w:noWrap w:val="0"/>
                  <w:vAlign w:val="center"/>
                </w:tcPr>
                <w:p w14:paraId="11A38DF4">
                  <w:pPr>
                    <w:keepNext w:val="0"/>
                    <w:keepLines w:val="0"/>
                    <w:pageBreakBefore w:val="0"/>
                    <w:widowControl w:val="0"/>
                    <w:suppressLineNumbers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pacing w:val="-6"/>
                      <w:kern w:val="0"/>
                      <w:sz w:val="21"/>
                      <w:szCs w:val="21"/>
                      <w:highlight w:val="none"/>
                      <w:lang w:val="en-US" w:eastAsia="zh-CN" w:bidi="ar"/>
                    </w:rPr>
                    <w:t>本项目</w:t>
                  </w:r>
                  <w:r>
                    <w:rPr>
                      <w:rFonts w:hint="eastAsia" w:ascii="Times New Roman" w:hAnsi="Times New Roman" w:eastAsia="宋体" w:cs="Times New Roman"/>
                      <w:color w:val="auto"/>
                      <w:spacing w:val="-6"/>
                      <w:kern w:val="2"/>
                      <w:sz w:val="21"/>
                      <w:szCs w:val="21"/>
                      <w:highlight w:val="none"/>
                      <w:vertAlign w:val="baseline"/>
                      <w:lang w:val="en-US" w:eastAsia="zh-CN" w:bidi="ar-SA"/>
                    </w:rPr>
                    <w:t>升压站周边</w:t>
                  </w:r>
                  <w:r>
                    <w:rPr>
                      <w:rFonts w:hint="default" w:ascii="Times New Roman" w:hAnsi="Times New Roman" w:eastAsia="宋体" w:cs="Times New Roman"/>
                      <w:color w:val="auto"/>
                      <w:spacing w:val="-6"/>
                      <w:kern w:val="0"/>
                      <w:sz w:val="21"/>
                      <w:szCs w:val="21"/>
                      <w:highlight w:val="none"/>
                      <w:lang w:val="en-US" w:eastAsia="zh-CN" w:bidi="ar"/>
                    </w:rPr>
                    <w:t>不涉及声环境敏感目标</w:t>
                  </w:r>
                </w:p>
              </w:tc>
              <w:tc>
                <w:tcPr>
                  <w:tcW w:w="602" w:type="pct"/>
                  <w:noWrap w:val="0"/>
                  <w:vAlign w:val="center"/>
                </w:tcPr>
                <w:p w14:paraId="6D156BA4">
                  <w:pPr>
                    <w:pStyle w:val="25"/>
                    <w:keepNext w:val="0"/>
                    <w:keepLines w:val="0"/>
                    <w:pageBreakBefore w:val="0"/>
                    <w:widowControl w:val="0"/>
                    <w:kinsoku/>
                    <w:wordWrap/>
                    <w:overflowPunct/>
                    <w:topLinePunct w:val="0"/>
                    <w:autoSpaceDE/>
                    <w:autoSpaceDN/>
                    <w:bidi w:val="0"/>
                    <w:snapToGrid/>
                    <w:spacing w:line="26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079B3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332" w:type="pct"/>
                  <w:vMerge w:val="continue"/>
                  <w:noWrap w:val="0"/>
                  <w:vAlign w:val="center"/>
                </w:tcPr>
                <w:p w14:paraId="7A74D6B1">
                  <w:pPr>
                    <w:pStyle w:val="25"/>
                    <w:keepNext w:val="0"/>
                    <w:keepLines w:val="0"/>
                    <w:pageBreakBefore w:val="0"/>
                    <w:widowControl w:val="0"/>
                    <w:kinsoku/>
                    <w:wordWrap/>
                    <w:overflowPunct/>
                    <w:topLinePunct w:val="0"/>
                    <w:autoSpaceDE/>
                    <w:autoSpaceDN/>
                    <w:bidi w:val="0"/>
                    <w:snapToGrid/>
                    <w:spacing w:line="260" w:lineRule="exact"/>
                    <w:rPr>
                      <w:rFonts w:hint="default" w:ascii="Times New Roman" w:hAnsi="Times New Roman" w:eastAsia="宋体" w:cs="Times New Roman"/>
                      <w:color w:val="auto"/>
                      <w:kern w:val="2"/>
                      <w:sz w:val="21"/>
                      <w:szCs w:val="21"/>
                      <w:highlight w:val="none"/>
                      <w:vertAlign w:val="baseline"/>
                      <w:lang w:val="en-US" w:eastAsia="zh-CN" w:bidi="ar-SA"/>
                    </w:rPr>
                  </w:pPr>
                </w:p>
              </w:tc>
              <w:tc>
                <w:tcPr>
                  <w:tcW w:w="315" w:type="pct"/>
                  <w:vMerge w:val="continue"/>
                  <w:noWrap w:val="0"/>
                  <w:vAlign w:val="center"/>
                </w:tcPr>
                <w:p w14:paraId="61C9B526">
                  <w:pPr>
                    <w:pStyle w:val="25"/>
                    <w:keepNext w:val="0"/>
                    <w:keepLines w:val="0"/>
                    <w:pageBreakBefore w:val="0"/>
                    <w:widowControl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p>
              </w:tc>
              <w:tc>
                <w:tcPr>
                  <w:tcW w:w="2393" w:type="pct"/>
                  <w:noWrap w:val="0"/>
                  <w:vAlign w:val="center"/>
                </w:tcPr>
                <w:p w14:paraId="6412E16E">
                  <w:pPr>
                    <w:keepNext w:val="0"/>
                    <w:keepLines w:val="0"/>
                    <w:pageBreakBefore w:val="0"/>
                    <w:widowControl w:val="0"/>
                    <w:suppressLineNumbers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pacing w:val="-6"/>
                      <w:kern w:val="0"/>
                      <w:sz w:val="21"/>
                      <w:szCs w:val="21"/>
                      <w:highlight w:val="none"/>
                      <w:lang w:val="en-US" w:eastAsia="zh-CN" w:bidi="ar"/>
                    </w:rPr>
                    <w:t>户外变电工程在设计过程中应进行平面布置优化，将主变压器、换流变压器、高压电抗器等主要声源设备布置在站址中央区域或离站外声环境敏感目标侧的区域。</w:t>
                  </w:r>
                </w:p>
              </w:tc>
              <w:tc>
                <w:tcPr>
                  <w:tcW w:w="1355" w:type="pct"/>
                  <w:noWrap w:val="0"/>
                  <w:vAlign w:val="center"/>
                </w:tcPr>
                <w:p w14:paraId="36DB916B">
                  <w:pPr>
                    <w:pStyle w:val="25"/>
                    <w:keepNext w:val="0"/>
                    <w:keepLines w:val="0"/>
                    <w:pageBreakBefore w:val="0"/>
                    <w:widowControl w:val="0"/>
                    <w:kinsoku/>
                    <w:wordWrap/>
                    <w:overflowPunct/>
                    <w:topLinePunct w:val="0"/>
                    <w:autoSpaceDE/>
                    <w:autoSpaceDN/>
                    <w:bidi w:val="0"/>
                    <w:adjustRightInd w:val="0"/>
                    <w:snapToGrid/>
                    <w:spacing w:line="260" w:lineRule="exact"/>
                    <w:jc w:val="both"/>
                    <w:textAlignment w:val="baseline"/>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pacing w:val="-6"/>
                      <w:kern w:val="2"/>
                      <w:sz w:val="21"/>
                      <w:szCs w:val="21"/>
                      <w:highlight w:val="none"/>
                      <w:vertAlign w:val="baseline"/>
                      <w:lang w:val="en-US" w:eastAsia="zh-CN" w:bidi="ar-SA"/>
                    </w:rPr>
                    <w:t>本项目</w:t>
                  </w:r>
                  <w:r>
                    <w:rPr>
                      <w:rFonts w:hint="eastAsia" w:ascii="Times New Roman" w:hAnsi="Times New Roman" w:eastAsia="宋体" w:cs="Times New Roman"/>
                      <w:color w:val="auto"/>
                      <w:spacing w:val="-6"/>
                      <w:kern w:val="2"/>
                      <w:sz w:val="21"/>
                      <w:szCs w:val="21"/>
                      <w:highlight w:val="none"/>
                      <w:vertAlign w:val="baseline"/>
                      <w:lang w:val="en-US" w:eastAsia="zh-CN" w:bidi="ar-SA"/>
                    </w:rPr>
                    <w:t>升压站平面布置较为合理</w:t>
                  </w:r>
                </w:p>
              </w:tc>
              <w:tc>
                <w:tcPr>
                  <w:tcW w:w="602" w:type="pct"/>
                  <w:noWrap w:val="0"/>
                  <w:vAlign w:val="center"/>
                </w:tcPr>
                <w:p w14:paraId="2FFDA29A">
                  <w:pPr>
                    <w:pStyle w:val="25"/>
                    <w:keepNext w:val="0"/>
                    <w:keepLines w:val="0"/>
                    <w:pageBreakBefore w:val="0"/>
                    <w:widowControl w:val="0"/>
                    <w:kinsoku/>
                    <w:wordWrap/>
                    <w:overflowPunct/>
                    <w:topLinePunct w:val="0"/>
                    <w:autoSpaceDE/>
                    <w:autoSpaceDN/>
                    <w:bidi w:val="0"/>
                    <w:snapToGrid/>
                    <w:spacing w:line="260" w:lineRule="exac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符合</w:t>
                  </w:r>
                </w:p>
              </w:tc>
            </w:tr>
            <w:tr w14:paraId="20AA3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3" w:hRule="atLeast"/>
                <w:jc w:val="center"/>
              </w:trPr>
              <w:tc>
                <w:tcPr>
                  <w:tcW w:w="332" w:type="pct"/>
                  <w:vMerge w:val="continue"/>
                  <w:noWrap w:val="0"/>
                  <w:vAlign w:val="center"/>
                </w:tcPr>
                <w:p w14:paraId="0E136B66">
                  <w:pPr>
                    <w:pStyle w:val="25"/>
                    <w:keepNext w:val="0"/>
                    <w:keepLines w:val="0"/>
                    <w:pageBreakBefore w:val="0"/>
                    <w:widowControl w:val="0"/>
                    <w:kinsoku/>
                    <w:wordWrap/>
                    <w:overflowPunct/>
                    <w:topLinePunct w:val="0"/>
                    <w:autoSpaceDE/>
                    <w:autoSpaceDN/>
                    <w:bidi w:val="0"/>
                    <w:snapToGrid/>
                    <w:spacing w:line="260" w:lineRule="exact"/>
                    <w:rPr>
                      <w:rFonts w:hint="default" w:ascii="Times New Roman" w:hAnsi="Times New Roman" w:eastAsia="宋体" w:cs="Times New Roman"/>
                      <w:color w:val="auto"/>
                      <w:kern w:val="2"/>
                      <w:sz w:val="21"/>
                      <w:szCs w:val="21"/>
                      <w:highlight w:val="none"/>
                      <w:vertAlign w:val="baseline"/>
                      <w:lang w:val="en-US" w:eastAsia="zh-CN" w:bidi="ar-SA"/>
                    </w:rPr>
                  </w:pPr>
                </w:p>
              </w:tc>
              <w:tc>
                <w:tcPr>
                  <w:tcW w:w="315" w:type="pct"/>
                  <w:vMerge w:val="continue"/>
                  <w:noWrap w:val="0"/>
                  <w:vAlign w:val="center"/>
                </w:tcPr>
                <w:p w14:paraId="5588490C">
                  <w:pPr>
                    <w:pStyle w:val="25"/>
                    <w:keepNext w:val="0"/>
                    <w:keepLines w:val="0"/>
                    <w:pageBreakBefore w:val="0"/>
                    <w:widowControl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p>
              </w:tc>
              <w:tc>
                <w:tcPr>
                  <w:tcW w:w="2393" w:type="pct"/>
                  <w:noWrap w:val="0"/>
                  <w:vAlign w:val="center"/>
                </w:tcPr>
                <w:p w14:paraId="571DA86C">
                  <w:pPr>
                    <w:keepNext w:val="0"/>
                    <w:keepLines w:val="0"/>
                    <w:pageBreakBefore w:val="0"/>
                    <w:widowControl w:val="0"/>
                    <w:suppressLineNumbers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pacing w:val="-6"/>
                      <w:kern w:val="0"/>
                      <w:sz w:val="21"/>
                      <w:szCs w:val="21"/>
                      <w:highlight w:val="none"/>
                      <w:lang w:val="en-US" w:eastAsia="zh-CN" w:bidi="ar"/>
                    </w:rPr>
                    <w:t>变电工程位于1类或周围噪声敏感建筑物较多的2类声环境功能区时，建设单位应严格控制主变压器、换流变压器、高压电抗器等主要噪声源的噪声水平，并在满足GB12348的基础上保留适当裕度。</w:t>
                  </w:r>
                </w:p>
              </w:tc>
              <w:tc>
                <w:tcPr>
                  <w:tcW w:w="1355" w:type="pct"/>
                  <w:noWrap w:val="0"/>
                  <w:vAlign w:val="center"/>
                </w:tcPr>
                <w:p w14:paraId="2454F42F">
                  <w:pPr>
                    <w:pStyle w:val="25"/>
                    <w:keepNext w:val="0"/>
                    <w:keepLines w:val="0"/>
                    <w:pageBreakBefore w:val="0"/>
                    <w:widowControl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本项目升压站噪声经预测满足达标排放，对周围声环境影响较小</w:t>
                  </w:r>
                </w:p>
              </w:tc>
              <w:tc>
                <w:tcPr>
                  <w:tcW w:w="602" w:type="pct"/>
                  <w:noWrap w:val="0"/>
                  <w:vAlign w:val="center"/>
                </w:tcPr>
                <w:p w14:paraId="6BA21D27">
                  <w:pPr>
                    <w:pStyle w:val="25"/>
                    <w:keepNext w:val="0"/>
                    <w:keepLines w:val="0"/>
                    <w:pageBreakBefore w:val="0"/>
                    <w:widowControl w:val="0"/>
                    <w:kinsoku/>
                    <w:wordWrap/>
                    <w:overflowPunct/>
                    <w:topLinePunct w:val="0"/>
                    <w:autoSpaceDE/>
                    <w:autoSpaceDN/>
                    <w:bidi w:val="0"/>
                    <w:snapToGrid/>
                    <w:spacing w:line="260" w:lineRule="exac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符合</w:t>
                  </w:r>
                </w:p>
              </w:tc>
            </w:tr>
            <w:tr w14:paraId="2B317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332" w:type="pct"/>
                  <w:vMerge w:val="continue"/>
                  <w:noWrap w:val="0"/>
                  <w:vAlign w:val="center"/>
                </w:tcPr>
                <w:p w14:paraId="2000CAFB">
                  <w:pPr>
                    <w:pStyle w:val="25"/>
                    <w:keepNext w:val="0"/>
                    <w:keepLines w:val="0"/>
                    <w:pageBreakBefore w:val="0"/>
                    <w:widowControl w:val="0"/>
                    <w:kinsoku/>
                    <w:wordWrap/>
                    <w:overflowPunct/>
                    <w:topLinePunct w:val="0"/>
                    <w:autoSpaceDE/>
                    <w:autoSpaceDN/>
                    <w:bidi w:val="0"/>
                    <w:snapToGrid/>
                    <w:spacing w:line="260" w:lineRule="exact"/>
                    <w:rPr>
                      <w:rFonts w:hint="default" w:ascii="Times New Roman" w:hAnsi="Times New Roman" w:eastAsia="宋体" w:cs="Times New Roman"/>
                      <w:color w:val="auto"/>
                      <w:kern w:val="2"/>
                      <w:sz w:val="21"/>
                      <w:szCs w:val="21"/>
                      <w:highlight w:val="none"/>
                      <w:vertAlign w:val="baseline"/>
                      <w:lang w:val="en-US" w:eastAsia="zh-CN" w:bidi="ar-SA"/>
                    </w:rPr>
                  </w:pPr>
                </w:p>
              </w:tc>
              <w:tc>
                <w:tcPr>
                  <w:tcW w:w="315" w:type="pct"/>
                  <w:vMerge w:val="restart"/>
                  <w:noWrap w:val="0"/>
                  <w:vAlign w:val="center"/>
                </w:tcPr>
                <w:p w14:paraId="3A8A50F8">
                  <w:pPr>
                    <w:pStyle w:val="25"/>
                    <w:keepNext w:val="0"/>
                    <w:keepLines w:val="0"/>
                    <w:pageBreakBefore w:val="0"/>
                    <w:widowControl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生态环境保护</w:t>
                  </w:r>
                </w:p>
              </w:tc>
              <w:tc>
                <w:tcPr>
                  <w:tcW w:w="2393" w:type="pct"/>
                  <w:noWrap w:val="0"/>
                  <w:vAlign w:val="center"/>
                </w:tcPr>
                <w:p w14:paraId="4F5B5A85">
                  <w:pPr>
                    <w:keepNext w:val="0"/>
                    <w:keepLines w:val="0"/>
                    <w:pageBreakBefore w:val="0"/>
                    <w:widowControl w:val="0"/>
                    <w:suppressLineNumbers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输变电建设项目在设计过程中应按照避让、减缓、恢复的次序提出生态影响防护与恢复的措施。</w:t>
                  </w:r>
                </w:p>
              </w:tc>
              <w:tc>
                <w:tcPr>
                  <w:tcW w:w="1355" w:type="pct"/>
                  <w:noWrap w:val="0"/>
                  <w:vAlign w:val="center"/>
                </w:tcPr>
                <w:p w14:paraId="0D7033AF">
                  <w:pPr>
                    <w:pStyle w:val="25"/>
                    <w:keepNext w:val="0"/>
                    <w:keepLines w:val="0"/>
                    <w:pageBreakBefore w:val="0"/>
                    <w:widowControl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本项目</w:t>
                  </w:r>
                  <w:r>
                    <w:rPr>
                      <w:rFonts w:hint="eastAsia" w:ascii="Times New Roman" w:hAnsi="Times New Roman" w:eastAsia="宋体" w:cs="Times New Roman"/>
                      <w:color w:val="auto"/>
                      <w:kern w:val="2"/>
                      <w:sz w:val="21"/>
                      <w:szCs w:val="21"/>
                      <w:highlight w:val="none"/>
                      <w:vertAlign w:val="baseline"/>
                      <w:lang w:val="en-US" w:eastAsia="zh-CN" w:bidi="ar-SA"/>
                    </w:rPr>
                    <w:t>升压站</w:t>
                  </w:r>
                  <w:r>
                    <w:rPr>
                      <w:rFonts w:hint="default" w:ascii="Times New Roman" w:hAnsi="Times New Roman" w:eastAsia="宋体" w:cs="Times New Roman"/>
                      <w:color w:val="auto"/>
                      <w:kern w:val="2"/>
                      <w:sz w:val="21"/>
                      <w:szCs w:val="21"/>
                      <w:highlight w:val="none"/>
                      <w:vertAlign w:val="baseline"/>
                      <w:lang w:val="en-US" w:eastAsia="zh-CN" w:bidi="ar-SA"/>
                    </w:rPr>
                    <w:t>设计初期已按照避让、减缓、恢复的次序采取生态影响防护与恢复的措施。</w:t>
                  </w:r>
                </w:p>
              </w:tc>
              <w:tc>
                <w:tcPr>
                  <w:tcW w:w="602" w:type="pct"/>
                  <w:noWrap w:val="0"/>
                  <w:vAlign w:val="center"/>
                </w:tcPr>
                <w:p w14:paraId="378E4284">
                  <w:pPr>
                    <w:pStyle w:val="25"/>
                    <w:keepNext w:val="0"/>
                    <w:keepLines w:val="0"/>
                    <w:pageBreakBefore w:val="0"/>
                    <w:widowControl w:val="0"/>
                    <w:kinsoku/>
                    <w:wordWrap/>
                    <w:overflowPunct/>
                    <w:topLinePunct w:val="0"/>
                    <w:autoSpaceDE/>
                    <w:autoSpaceDN/>
                    <w:bidi w:val="0"/>
                    <w:snapToGrid/>
                    <w:spacing w:line="260" w:lineRule="exac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符合</w:t>
                  </w:r>
                </w:p>
              </w:tc>
            </w:tr>
            <w:tr w14:paraId="3CCD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332" w:type="pct"/>
                  <w:vMerge w:val="continue"/>
                  <w:noWrap w:val="0"/>
                  <w:vAlign w:val="center"/>
                </w:tcPr>
                <w:p w14:paraId="76240AF5">
                  <w:pPr>
                    <w:pStyle w:val="25"/>
                    <w:keepNext w:val="0"/>
                    <w:keepLines w:val="0"/>
                    <w:pageBreakBefore w:val="0"/>
                    <w:widowControl w:val="0"/>
                    <w:kinsoku/>
                    <w:wordWrap/>
                    <w:overflowPunct/>
                    <w:topLinePunct w:val="0"/>
                    <w:autoSpaceDE/>
                    <w:autoSpaceDN/>
                    <w:bidi w:val="0"/>
                    <w:snapToGrid/>
                    <w:spacing w:line="260" w:lineRule="exact"/>
                    <w:rPr>
                      <w:rFonts w:hint="default" w:ascii="Times New Roman" w:hAnsi="Times New Roman" w:eastAsia="宋体" w:cs="Times New Roman"/>
                      <w:color w:val="auto"/>
                      <w:kern w:val="2"/>
                      <w:sz w:val="21"/>
                      <w:szCs w:val="21"/>
                      <w:highlight w:val="none"/>
                      <w:vertAlign w:val="baseline"/>
                      <w:lang w:val="en-US" w:eastAsia="zh-CN" w:bidi="ar-SA"/>
                    </w:rPr>
                  </w:pPr>
                </w:p>
              </w:tc>
              <w:tc>
                <w:tcPr>
                  <w:tcW w:w="315" w:type="pct"/>
                  <w:vMerge w:val="continue"/>
                  <w:noWrap w:val="0"/>
                  <w:vAlign w:val="center"/>
                </w:tcPr>
                <w:p w14:paraId="5F68503D">
                  <w:pPr>
                    <w:pStyle w:val="25"/>
                    <w:keepNext w:val="0"/>
                    <w:keepLines w:val="0"/>
                    <w:pageBreakBefore w:val="0"/>
                    <w:widowControl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p>
              </w:tc>
              <w:tc>
                <w:tcPr>
                  <w:tcW w:w="2393" w:type="pct"/>
                  <w:noWrap w:val="0"/>
                  <w:vAlign w:val="center"/>
                </w:tcPr>
                <w:p w14:paraId="43784195">
                  <w:pPr>
                    <w:keepNext w:val="0"/>
                    <w:keepLines w:val="0"/>
                    <w:pageBreakBefore w:val="0"/>
                    <w:widowControl w:val="0"/>
                    <w:suppressLineNumbers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输变电建设项目临时占地，应因地制宜进行土地功能恢复设计。</w:t>
                  </w:r>
                </w:p>
              </w:tc>
              <w:tc>
                <w:tcPr>
                  <w:tcW w:w="1355" w:type="pct"/>
                  <w:noWrap w:val="0"/>
                  <w:vAlign w:val="center"/>
                </w:tcPr>
                <w:p w14:paraId="33960978">
                  <w:pPr>
                    <w:pStyle w:val="25"/>
                    <w:keepNext w:val="0"/>
                    <w:keepLines w:val="0"/>
                    <w:pageBreakBefore w:val="0"/>
                    <w:widowControl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本项目在施工结束后对临时占地及时恢复，恢复至原符合生态、土地功能。</w:t>
                  </w:r>
                </w:p>
              </w:tc>
              <w:tc>
                <w:tcPr>
                  <w:tcW w:w="602" w:type="pct"/>
                  <w:noWrap w:val="0"/>
                  <w:vAlign w:val="center"/>
                </w:tcPr>
                <w:p w14:paraId="54B7D03E">
                  <w:pPr>
                    <w:pStyle w:val="25"/>
                    <w:keepNext w:val="0"/>
                    <w:keepLines w:val="0"/>
                    <w:pageBreakBefore w:val="0"/>
                    <w:widowControl w:val="0"/>
                    <w:kinsoku/>
                    <w:wordWrap/>
                    <w:overflowPunct/>
                    <w:topLinePunct w:val="0"/>
                    <w:autoSpaceDE/>
                    <w:autoSpaceDN/>
                    <w:bidi w:val="0"/>
                    <w:snapToGrid/>
                    <w:spacing w:line="260" w:lineRule="exac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符合</w:t>
                  </w:r>
                </w:p>
              </w:tc>
            </w:tr>
            <w:tr w14:paraId="5ED99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3" w:hRule="atLeast"/>
                <w:jc w:val="center"/>
              </w:trPr>
              <w:tc>
                <w:tcPr>
                  <w:tcW w:w="332" w:type="pct"/>
                  <w:vMerge w:val="continue"/>
                  <w:noWrap w:val="0"/>
                  <w:vAlign w:val="center"/>
                </w:tcPr>
                <w:p w14:paraId="76B1469E">
                  <w:pPr>
                    <w:pStyle w:val="25"/>
                    <w:keepNext w:val="0"/>
                    <w:keepLines w:val="0"/>
                    <w:pageBreakBefore w:val="0"/>
                    <w:widowControl w:val="0"/>
                    <w:kinsoku/>
                    <w:wordWrap/>
                    <w:overflowPunct/>
                    <w:topLinePunct w:val="0"/>
                    <w:autoSpaceDE/>
                    <w:autoSpaceDN/>
                    <w:bidi w:val="0"/>
                    <w:snapToGrid/>
                    <w:spacing w:line="260" w:lineRule="exact"/>
                    <w:rPr>
                      <w:rFonts w:hint="default" w:ascii="Times New Roman" w:hAnsi="Times New Roman" w:eastAsia="宋体" w:cs="Times New Roman"/>
                      <w:color w:val="auto"/>
                      <w:kern w:val="2"/>
                      <w:sz w:val="21"/>
                      <w:szCs w:val="21"/>
                      <w:highlight w:val="none"/>
                      <w:vertAlign w:val="baseline"/>
                      <w:lang w:val="en-US" w:eastAsia="zh-CN" w:bidi="ar-SA"/>
                    </w:rPr>
                  </w:pPr>
                </w:p>
              </w:tc>
              <w:tc>
                <w:tcPr>
                  <w:tcW w:w="315" w:type="pct"/>
                  <w:vMerge w:val="continue"/>
                  <w:noWrap w:val="0"/>
                  <w:vAlign w:val="center"/>
                </w:tcPr>
                <w:p w14:paraId="47AD2F30">
                  <w:pPr>
                    <w:pStyle w:val="25"/>
                    <w:keepNext w:val="0"/>
                    <w:keepLines w:val="0"/>
                    <w:pageBreakBefore w:val="0"/>
                    <w:widowControl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p>
              </w:tc>
              <w:tc>
                <w:tcPr>
                  <w:tcW w:w="2393" w:type="pct"/>
                  <w:noWrap w:val="0"/>
                  <w:vAlign w:val="center"/>
                </w:tcPr>
                <w:p w14:paraId="455834B1">
                  <w:pPr>
                    <w:keepNext w:val="0"/>
                    <w:keepLines w:val="0"/>
                    <w:pageBreakBefore w:val="0"/>
                    <w:widowControl w:val="0"/>
                    <w:suppressLineNumbers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pacing w:val="-6"/>
                      <w:kern w:val="0"/>
                      <w:sz w:val="21"/>
                      <w:szCs w:val="21"/>
                      <w:highlight w:val="none"/>
                      <w:lang w:val="en-US" w:eastAsia="zh-CN" w:bidi="ar"/>
                    </w:rPr>
                    <w:t>进入自然保护区的输电线路，应根据生态现状调查结果，制定相应的保护方案。塔基定位应避让珍稀濒危物种、保护植物和保护动物的栖息地，根据保护对象的特性设计相应的生态环境保护措施、设施等。</w:t>
                  </w:r>
                </w:p>
              </w:tc>
              <w:tc>
                <w:tcPr>
                  <w:tcW w:w="1811" w:type="dxa"/>
                  <w:noWrap w:val="0"/>
                  <w:vAlign w:val="center"/>
                </w:tcPr>
                <w:p w14:paraId="7947B4FE">
                  <w:pPr>
                    <w:pStyle w:val="25"/>
                    <w:keepNext w:val="0"/>
                    <w:keepLines w:val="0"/>
                    <w:pageBreakBefore w:val="0"/>
                    <w:widowControl w:val="0"/>
                    <w:kinsoku/>
                    <w:wordWrap/>
                    <w:overflowPunct/>
                    <w:topLinePunct w:val="0"/>
                    <w:autoSpaceDE/>
                    <w:autoSpaceDN/>
                    <w:bidi w:val="0"/>
                    <w:snapToGrid/>
                    <w:spacing w:line="260" w:lineRule="exact"/>
                    <w:ind w:firstLine="0" w:firstLineChars="0"/>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本项目不涉及输电线路</w:t>
                  </w:r>
                </w:p>
              </w:tc>
              <w:tc>
                <w:tcPr>
                  <w:tcW w:w="804" w:type="dxa"/>
                  <w:noWrap w:val="0"/>
                  <w:vAlign w:val="center"/>
                </w:tcPr>
                <w:p w14:paraId="0C7F44BB">
                  <w:pPr>
                    <w:pStyle w:val="25"/>
                    <w:keepNext w:val="0"/>
                    <w:keepLines w:val="0"/>
                    <w:pageBreakBefore w:val="0"/>
                    <w:widowControl w:val="0"/>
                    <w:kinsoku/>
                    <w:wordWrap/>
                    <w:overflowPunct/>
                    <w:topLinePunct w:val="0"/>
                    <w:autoSpaceDE/>
                    <w:autoSpaceDN/>
                    <w:bidi w:val="0"/>
                    <w:snapToGrid/>
                    <w:spacing w:line="260" w:lineRule="exact"/>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w:t>
                  </w:r>
                </w:p>
              </w:tc>
            </w:tr>
            <w:tr w14:paraId="70D63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332" w:type="pct"/>
                  <w:vMerge w:val="continue"/>
                  <w:noWrap w:val="0"/>
                  <w:vAlign w:val="center"/>
                </w:tcPr>
                <w:p w14:paraId="6A6CED4A">
                  <w:pPr>
                    <w:pStyle w:val="25"/>
                    <w:keepNext w:val="0"/>
                    <w:keepLines w:val="0"/>
                    <w:pageBreakBefore w:val="0"/>
                    <w:widowControl w:val="0"/>
                    <w:kinsoku/>
                    <w:wordWrap/>
                    <w:overflowPunct/>
                    <w:topLinePunct w:val="0"/>
                    <w:autoSpaceDE/>
                    <w:autoSpaceDN/>
                    <w:bidi w:val="0"/>
                    <w:snapToGrid/>
                    <w:spacing w:line="260" w:lineRule="exact"/>
                    <w:rPr>
                      <w:rFonts w:hint="default" w:ascii="Times New Roman" w:hAnsi="Times New Roman" w:eastAsia="宋体" w:cs="Times New Roman"/>
                      <w:color w:val="auto"/>
                      <w:kern w:val="2"/>
                      <w:sz w:val="21"/>
                      <w:szCs w:val="21"/>
                      <w:highlight w:val="none"/>
                      <w:vertAlign w:val="baseline"/>
                      <w:lang w:val="en-US" w:eastAsia="zh-CN" w:bidi="ar-SA"/>
                    </w:rPr>
                  </w:pPr>
                </w:p>
              </w:tc>
              <w:tc>
                <w:tcPr>
                  <w:tcW w:w="315" w:type="pct"/>
                  <w:vMerge w:val="restart"/>
                  <w:noWrap w:val="0"/>
                  <w:vAlign w:val="center"/>
                </w:tcPr>
                <w:p w14:paraId="12EEABD3">
                  <w:pPr>
                    <w:pStyle w:val="25"/>
                    <w:keepNext w:val="0"/>
                    <w:keepLines w:val="0"/>
                    <w:pageBreakBefore w:val="0"/>
                    <w:widowControl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水环境保护</w:t>
                  </w:r>
                </w:p>
              </w:tc>
              <w:tc>
                <w:tcPr>
                  <w:tcW w:w="2393" w:type="pct"/>
                  <w:noWrap w:val="0"/>
                  <w:vAlign w:val="center"/>
                </w:tcPr>
                <w:p w14:paraId="2249A00D">
                  <w:pPr>
                    <w:keepNext w:val="0"/>
                    <w:keepLines w:val="0"/>
                    <w:pageBreakBefore w:val="0"/>
                    <w:widowControl w:val="0"/>
                    <w:suppressLineNumbers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变电工程应采取节水措施，加强水的重复利用，减少废（污）水排放。雨水和生活污水应采取分流制。</w:t>
                  </w:r>
                </w:p>
              </w:tc>
              <w:tc>
                <w:tcPr>
                  <w:tcW w:w="1355" w:type="pct"/>
                  <w:vMerge w:val="restart"/>
                  <w:noWrap w:val="0"/>
                  <w:vAlign w:val="center"/>
                </w:tcPr>
                <w:p w14:paraId="01A92CA3">
                  <w:pPr>
                    <w:pStyle w:val="25"/>
                    <w:keepNext w:val="0"/>
                    <w:keepLines w:val="0"/>
                    <w:pageBreakBefore w:val="0"/>
                    <w:widowControl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
                    </w:rPr>
                    <w:t>本项目</w:t>
                  </w:r>
                  <w:r>
                    <w:rPr>
                      <w:rFonts w:hint="eastAsia" w:ascii="Times New Roman" w:hAnsi="Times New Roman" w:eastAsia="宋体" w:cs="Times New Roman"/>
                      <w:color w:val="auto"/>
                      <w:kern w:val="0"/>
                      <w:sz w:val="21"/>
                      <w:szCs w:val="21"/>
                      <w:highlight w:val="none"/>
                      <w:lang w:val="en-US" w:eastAsia="zh-CN" w:bidi="ar"/>
                    </w:rPr>
                    <w:t>升压站内生活污水经管网进</w:t>
                  </w:r>
                  <w:r>
                    <w:rPr>
                      <w:rFonts w:hint="default" w:ascii="Times New Roman" w:hAnsi="Times New Roman" w:eastAsia="宋体" w:cs="Times New Roman"/>
                      <w:color w:val="auto"/>
                      <w:kern w:val="0"/>
                      <w:sz w:val="21"/>
                      <w:szCs w:val="21"/>
                      <w:highlight w:val="none"/>
                      <w:lang w:val="en-US" w:eastAsia="zh-CN" w:bidi="ar"/>
                    </w:rPr>
                    <w:t>入园区污水处理厂处理</w:t>
                  </w:r>
                </w:p>
              </w:tc>
              <w:tc>
                <w:tcPr>
                  <w:tcW w:w="602" w:type="pct"/>
                  <w:noWrap w:val="0"/>
                  <w:vAlign w:val="center"/>
                </w:tcPr>
                <w:p w14:paraId="73EB7A3C">
                  <w:pPr>
                    <w:pStyle w:val="25"/>
                    <w:keepNext w:val="0"/>
                    <w:keepLines w:val="0"/>
                    <w:pageBreakBefore w:val="0"/>
                    <w:widowControl w:val="0"/>
                    <w:kinsoku/>
                    <w:wordWrap/>
                    <w:overflowPunct/>
                    <w:topLinePunct w:val="0"/>
                    <w:autoSpaceDE/>
                    <w:autoSpaceDN/>
                    <w:bidi w:val="0"/>
                    <w:snapToGrid/>
                    <w:spacing w:line="260" w:lineRule="exac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符合</w:t>
                  </w:r>
                </w:p>
              </w:tc>
            </w:tr>
            <w:tr w14:paraId="15565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332" w:type="pct"/>
                  <w:vMerge w:val="continue"/>
                  <w:noWrap w:val="0"/>
                  <w:vAlign w:val="center"/>
                </w:tcPr>
                <w:p w14:paraId="455BBD01">
                  <w:pPr>
                    <w:pStyle w:val="25"/>
                    <w:keepNext w:val="0"/>
                    <w:keepLines w:val="0"/>
                    <w:pageBreakBefore w:val="0"/>
                    <w:widowControl w:val="0"/>
                    <w:kinsoku/>
                    <w:wordWrap/>
                    <w:overflowPunct/>
                    <w:topLinePunct w:val="0"/>
                    <w:autoSpaceDE/>
                    <w:autoSpaceDN/>
                    <w:bidi w:val="0"/>
                    <w:snapToGrid/>
                    <w:spacing w:line="260" w:lineRule="exact"/>
                    <w:rPr>
                      <w:rFonts w:hint="default" w:ascii="Times New Roman" w:hAnsi="Times New Roman" w:eastAsia="宋体" w:cs="Times New Roman"/>
                      <w:color w:val="auto"/>
                      <w:kern w:val="2"/>
                      <w:sz w:val="21"/>
                      <w:szCs w:val="21"/>
                      <w:highlight w:val="none"/>
                      <w:vertAlign w:val="baseline"/>
                      <w:lang w:val="en-US" w:eastAsia="zh-CN" w:bidi="ar-SA"/>
                    </w:rPr>
                  </w:pPr>
                </w:p>
              </w:tc>
              <w:tc>
                <w:tcPr>
                  <w:tcW w:w="315" w:type="pct"/>
                  <w:vMerge w:val="continue"/>
                  <w:noWrap w:val="0"/>
                  <w:vAlign w:val="center"/>
                </w:tcPr>
                <w:p w14:paraId="2E6C6A5D">
                  <w:pPr>
                    <w:pStyle w:val="25"/>
                    <w:keepNext w:val="0"/>
                    <w:keepLines w:val="0"/>
                    <w:pageBreakBefore w:val="0"/>
                    <w:widowControl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p>
              </w:tc>
              <w:tc>
                <w:tcPr>
                  <w:tcW w:w="2393" w:type="pct"/>
                  <w:noWrap w:val="0"/>
                  <w:vAlign w:val="center"/>
                </w:tcPr>
                <w:p w14:paraId="6194AEE5">
                  <w:pPr>
                    <w:keepNext w:val="0"/>
                    <w:keepLines w:val="0"/>
                    <w:pageBreakBefore w:val="0"/>
                    <w:widowControl w:val="0"/>
                    <w:suppressLineNumbers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变电工程站内产生的生活污水宜考虑处理后纳入城市污水管网；不具备纳入城市污水管网条件的变电工程，应根据站内生活污水产生情况设置生活污水处理装置（化粪池、地埋式污水处理装置、回用水池、蒸发池等），生活污水经处理后回收利用、定期清理或外排，外排时应严格执行相应的国家和地方水污染物排放标准相关要求。</w:t>
                  </w:r>
                </w:p>
              </w:tc>
              <w:tc>
                <w:tcPr>
                  <w:tcW w:w="1355" w:type="pct"/>
                  <w:vMerge w:val="continue"/>
                  <w:noWrap w:val="0"/>
                  <w:vAlign w:val="center"/>
                </w:tcPr>
                <w:p w14:paraId="7C084D81">
                  <w:pPr>
                    <w:pStyle w:val="25"/>
                    <w:keepNext w:val="0"/>
                    <w:keepLines w:val="0"/>
                    <w:pageBreakBefore w:val="0"/>
                    <w:widowControl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0"/>
                      <w:sz w:val="21"/>
                      <w:szCs w:val="21"/>
                      <w:highlight w:val="none"/>
                      <w:lang w:val="en-US" w:eastAsia="zh-CN" w:bidi="ar"/>
                    </w:rPr>
                  </w:pPr>
                </w:p>
              </w:tc>
              <w:tc>
                <w:tcPr>
                  <w:tcW w:w="602" w:type="pct"/>
                  <w:noWrap w:val="0"/>
                  <w:vAlign w:val="center"/>
                </w:tcPr>
                <w:p w14:paraId="19BB0F5C">
                  <w:pPr>
                    <w:pStyle w:val="25"/>
                    <w:keepNext w:val="0"/>
                    <w:keepLines w:val="0"/>
                    <w:pageBreakBefore w:val="0"/>
                    <w:widowControl w:val="0"/>
                    <w:kinsoku/>
                    <w:wordWrap/>
                    <w:overflowPunct/>
                    <w:topLinePunct w:val="0"/>
                    <w:autoSpaceDE/>
                    <w:autoSpaceDN/>
                    <w:bidi w:val="0"/>
                    <w:snapToGrid/>
                    <w:spacing w:line="26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bl>
          <w:p w14:paraId="00456E3E">
            <w:pPr>
              <w:keepNext w:val="0"/>
              <w:keepLines w:val="0"/>
              <w:pageBreakBefore w:val="0"/>
              <w:widowControl w:val="0"/>
              <w:kinsoku/>
              <w:wordWrap/>
              <w:overflowPunct/>
              <w:topLinePunct w:val="0"/>
              <w:autoSpaceDE/>
              <w:autoSpaceDN/>
              <w:bidi w:val="0"/>
              <w:adjustRightInd/>
              <w:snapToGrid/>
              <w:spacing w:before="157" w:beforeLines="50" w:line="360" w:lineRule="auto"/>
              <w:ind w:firstLine="456" w:firstLineChars="200"/>
              <w:textAlignment w:val="auto"/>
              <w:rPr>
                <w:rFonts w:hint="default" w:ascii="Times New Roman" w:hAnsi="Times New Roman" w:eastAsia="宋体" w:cs="Times New Roman"/>
                <w:color w:val="auto"/>
                <w:spacing w:val="-6"/>
                <w:sz w:val="24"/>
                <w:szCs w:val="24"/>
                <w:highlight w:val="none"/>
                <w:lang w:val="en-US" w:eastAsia="zh-CN"/>
              </w:rPr>
            </w:pPr>
            <w:r>
              <w:rPr>
                <w:rFonts w:hint="default" w:ascii="Times New Roman" w:hAnsi="Times New Roman" w:eastAsia="宋体" w:cs="Times New Roman"/>
                <w:color w:val="auto"/>
                <w:spacing w:val="-6"/>
                <w:sz w:val="24"/>
                <w:szCs w:val="24"/>
                <w:highlight w:val="none"/>
                <w:lang w:val="en-US" w:eastAsia="zh-CN"/>
              </w:rPr>
              <w:t>由表1-2分析可知，本项目符合《输变电建设项目环境保护技术要求》（HJ1113-2020）中选址、设计等相关技术要求。</w:t>
            </w:r>
          </w:p>
          <w:p w14:paraId="2C923AEF">
            <w:pPr>
              <w:pStyle w:val="25"/>
              <w:keepNext w:val="0"/>
              <w:keepLines w:val="0"/>
              <w:pageBreakBefore w:val="0"/>
              <w:widowControl w:val="0"/>
              <w:wordWrap/>
              <w:topLinePunct w:val="0"/>
              <w:bidi w:val="0"/>
              <w:spacing w:line="360" w:lineRule="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1.</w:t>
            </w:r>
            <w:r>
              <w:rPr>
                <w:rFonts w:hint="eastAsia" w:ascii="Times New Roman" w:hAnsi="Times New Roman" w:eastAsia="宋体" w:cs="Times New Roman"/>
                <w:b/>
                <w:bCs/>
                <w:color w:val="auto"/>
                <w:kern w:val="2"/>
                <w:sz w:val="24"/>
                <w:szCs w:val="24"/>
                <w:highlight w:val="none"/>
                <w:lang w:val="en-US" w:eastAsia="zh-CN" w:bidi="ar-SA"/>
              </w:rPr>
              <w:t>4</w:t>
            </w:r>
            <w:r>
              <w:rPr>
                <w:rFonts w:hint="default" w:ascii="Times New Roman" w:hAnsi="Times New Roman" w:eastAsia="宋体" w:cs="Times New Roman"/>
                <w:b/>
                <w:bCs/>
                <w:color w:val="auto"/>
                <w:kern w:val="2"/>
                <w:sz w:val="24"/>
                <w:szCs w:val="24"/>
                <w:highlight w:val="none"/>
                <w:lang w:val="en-US" w:eastAsia="zh-CN" w:bidi="ar-SA"/>
              </w:rPr>
              <w:t>与《新疆维吾尔自治区国民经济和社会发展第十四个五年规划和2035年远景目标纲要》符合性分析</w:t>
            </w:r>
          </w:p>
          <w:p w14:paraId="1DE0FAC8">
            <w:pPr>
              <w:pStyle w:val="25"/>
              <w:keepNext w:val="0"/>
              <w:keepLines w:val="0"/>
              <w:pageBreakBefore w:val="0"/>
              <w:widowControl w:val="0"/>
              <w:wordWrap/>
              <w:topLinePunct w:val="0"/>
              <w:bidi w:val="0"/>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根据《新疆维吾尔自治区国民经济和社会发展第十四个五年规划和2035年远景目标纲要》</w:t>
            </w:r>
            <w:bookmarkStart w:id="4" w:name="_Toc89098804"/>
            <w:bookmarkStart w:id="5" w:name="_Toc1843112922"/>
            <w:bookmarkStart w:id="6" w:name="_Toc2087249323"/>
            <w:bookmarkStart w:id="7" w:name="_Toc36466156"/>
            <w:bookmarkStart w:id="8" w:name="_Toc47805923"/>
            <w:bookmarkStart w:id="9" w:name="_Toc1653512679"/>
            <w:bookmarkStart w:id="10" w:name="_Toc2077037938"/>
            <w:bookmarkStart w:id="11" w:name="_Toc681913192"/>
            <w:bookmarkStart w:id="12" w:name="_Toc1437884702"/>
            <w:r>
              <w:rPr>
                <w:rFonts w:hint="default" w:ascii="Times New Roman" w:hAnsi="Times New Roman" w:eastAsia="宋体" w:cs="Times New Roman"/>
                <w:color w:val="auto"/>
                <w:kern w:val="2"/>
                <w:sz w:val="24"/>
                <w:szCs w:val="24"/>
                <w:highlight w:val="none"/>
                <w:lang w:val="en-US" w:eastAsia="zh-CN" w:bidi="ar-SA"/>
              </w:rPr>
              <w:t>：建设国家新能源基地</w:t>
            </w:r>
            <w:bookmarkEnd w:id="4"/>
            <w:bookmarkEnd w:id="5"/>
            <w:bookmarkEnd w:id="6"/>
            <w:bookmarkEnd w:id="7"/>
            <w:bookmarkEnd w:id="8"/>
            <w:bookmarkEnd w:id="9"/>
            <w:bookmarkEnd w:id="10"/>
            <w:bookmarkEnd w:id="11"/>
            <w:bookmarkEnd w:id="12"/>
            <w:r>
              <w:rPr>
                <w:rFonts w:hint="default" w:ascii="Times New Roman" w:hAnsi="Times New Roman" w:eastAsia="宋体" w:cs="Times New Roman"/>
                <w:color w:val="auto"/>
                <w:kern w:val="2"/>
                <w:sz w:val="24"/>
                <w:szCs w:val="24"/>
                <w:highlight w:val="none"/>
                <w:lang w:val="en-US" w:eastAsia="zh-CN" w:bidi="ar-SA"/>
              </w:rPr>
              <w:t>。建成准东千万千瓦级新能源基地，推进建设哈密北千万千瓦级新能源基地和南疆环塔里木千万千瓦级清洁能源供应保障区，建设新能源平价上网项目示范区。推进风光水储一体化清洁能源发电示范工程，开展智能光伏、风电制氢试点。建成阜康120万千瓦抽水蓄能电站，推进哈密120万千瓦抽水蓄能电站、南疆四地州光伏侧储能等调峰设施建设，促进可再生能源规模稳定增长。</w:t>
            </w:r>
          </w:p>
          <w:p w14:paraId="4916EB4A">
            <w:pPr>
              <w:pStyle w:val="25"/>
              <w:keepNext w:val="0"/>
              <w:keepLines w:val="0"/>
              <w:pageBreakBefore w:val="0"/>
              <w:widowControl w:val="0"/>
              <w:wordWrap/>
              <w:topLinePunct w:val="0"/>
              <w:bidi w:val="0"/>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本项目为升压站及储能建设</w:t>
            </w:r>
            <w:r>
              <w:rPr>
                <w:rFonts w:hint="eastAsia" w:eastAsia="宋体" w:cs="Times New Roman"/>
                <w:b w:val="0"/>
                <w:bCs w:val="0"/>
                <w:color w:val="auto"/>
                <w:kern w:val="2"/>
                <w:sz w:val="24"/>
                <w:szCs w:val="24"/>
                <w:highlight w:val="none"/>
                <w:lang w:val="en-US" w:eastAsia="zh-CN" w:bidi="ar-SA"/>
              </w:rPr>
              <w:t>项目</w:t>
            </w:r>
            <w:r>
              <w:rPr>
                <w:rFonts w:hint="default" w:ascii="Times New Roman" w:hAnsi="Times New Roman" w:eastAsia="宋体" w:cs="Times New Roman"/>
                <w:color w:val="auto"/>
                <w:kern w:val="2"/>
                <w:sz w:val="24"/>
                <w:szCs w:val="24"/>
                <w:highlight w:val="none"/>
                <w:lang w:val="en-US" w:eastAsia="zh-CN" w:bidi="ar-SA"/>
              </w:rPr>
              <w:t>，项目的建设</w:t>
            </w:r>
            <w:r>
              <w:rPr>
                <w:rFonts w:hint="default" w:ascii="Times New Roman" w:hAnsi="Times New Roman" w:eastAsia="宋体" w:cs="Times New Roman"/>
                <w:bCs/>
                <w:color w:val="auto"/>
                <w:sz w:val="24"/>
                <w:szCs w:val="24"/>
                <w:highlight w:val="none"/>
                <w:lang w:val="en-US" w:eastAsia="zh-CN"/>
              </w:rPr>
              <w:t>符合</w:t>
            </w:r>
            <w:r>
              <w:rPr>
                <w:rFonts w:hint="default" w:ascii="Times New Roman" w:hAnsi="Times New Roman" w:eastAsia="宋体" w:cs="Times New Roman"/>
                <w:color w:val="auto"/>
                <w:kern w:val="2"/>
                <w:sz w:val="24"/>
                <w:szCs w:val="24"/>
                <w:highlight w:val="none"/>
                <w:lang w:val="en-US" w:eastAsia="zh-CN" w:bidi="ar-SA"/>
              </w:rPr>
              <w:t>《新疆维吾尔自治区国民经济和社会发展第十四个五年规划和2035年远景目标纲要》中相关内容。</w:t>
            </w:r>
          </w:p>
          <w:p w14:paraId="2E692384">
            <w:pPr>
              <w:pStyle w:val="25"/>
              <w:keepNext w:val="0"/>
              <w:keepLines w:val="0"/>
              <w:pageBreakBefore w:val="0"/>
              <w:widowControl w:val="0"/>
              <w:wordWrap/>
              <w:topLinePunct w:val="0"/>
              <w:bidi w:val="0"/>
              <w:spacing w:line="360" w:lineRule="auto"/>
              <w:ind w:firstLine="480" w:firstLineChars="200"/>
              <w:rPr>
                <w:rFonts w:hint="default" w:ascii="Times New Roman" w:hAnsi="Times New Roman" w:eastAsia="宋体" w:cs="Times New Roman"/>
                <w:b w:val="0"/>
                <w:bCs w:val="0"/>
                <w:color w:val="auto"/>
                <w:kern w:val="2"/>
                <w:sz w:val="24"/>
                <w:szCs w:val="24"/>
                <w:highlight w:val="none"/>
                <w:lang w:val="en-US" w:eastAsia="zh-CN" w:bidi="ar-SA"/>
              </w:rPr>
            </w:pPr>
          </w:p>
          <w:p w14:paraId="7A114D74">
            <w:pPr>
              <w:pStyle w:val="25"/>
              <w:keepNext w:val="0"/>
              <w:keepLines w:val="0"/>
              <w:pageBreakBefore w:val="0"/>
              <w:widowControl w:val="0"/>
              <w:wordWrap/>
              <w:topLinePunct w:val="0"/>
              <w:bidi w:val="0"/>
              <w:spacing w:line="360" w:lineRule="auto"/>
              <w:ind w:firstLine="480" w:firstLineChars="200"/>
              <w:rPr>
                <w:rFonts w:hint="default" w:ascii="Times New Roman" w:hAnsi="Times New Roman" w:eastAsia="宋体" w:cs="Times New Roman"/>
                <w:b w:val="0"/>
                <w:bCs w:val="0"/>
                <w:color w:val="auto"/>
                <w:kern w:val="2"/>
                <w:sz w:val="24"/>
                <w:szCs w:val="24"/>
                <w:highlight w:val="none"/>
                <w:lang w:val="en-US" w:eastAsia="zh-CN" w:bidi="ar-SA"/>
              </w:rPr>
            </w:pPr>
          </w:p>
          <w:p w14:paraId="2E654594">
            <w:pPr>
              <w:pStyle w:val="25"/>
              <w:keepNext w:val="0"/>
              <w:keepLines w:val="0"/>
              <w:pageBreakBefore w:val="0"/>
              <w:widowControl w:val="0"/>
              <w:wordWrap/>
              <w:topLinePunct w:val="0"/>
              <w:bidi w:val="0"/>
              <w:spacing w:line="360" w:lineRule="auto"/>
              <w:ind w:firstLine="480" w:firstLineChars="200"/>
              <w:rPr>
                <w:rFonts w:hint="default" w:ascii="Times New Roman" w:hAnsi="Times New Roman" w:eastAsia="宋体" w:cs="Times New Roman"/>
                <w:b w:val="0"/>
                <w:bCs w:val="0"/>
                <w:color w:val="auto"/>
                <w:kern w:val="2"/>
                <w:sz w:val="24"/>
                <w:szCs w:val="24"/>
                <w:highlight w:val="none"/>
                <w:lang w:val="en-US" w:eastAsia="zh-CN" w:bidi="ar-SA"/>
              </w:rPr>
            </w:pPr>
          </w:p>
          <w:p w14:paraId="34AF4F65">
            <w:pPr>
              <w:pStyle w:val="25"/>
              <w:keepNext w:val="0"/>
              <w:keepLines w:val="0"/>
              <w:pageBreakBefore w:val="0"/>
              <w:widowControl w:val="0"/>
              <w:wordWrap/>
              <w:topLinePunct w:val="0"/>
              <w:bidi w:val="0"/>
              <w:spacing w:line="360" w:lineRule="auto"/>
              <w:ind w:firstLine="480" w:firstLineChars="200"/>
              <w:rPr>
                <w:rFonts w:hint="default" w:ascii="Times New Roman" w:hAnsi="Times New Roman" w:eastAsia="宋体" w:cs="Times New Roman"/>
                <w:b w:val="0"/>
                <w:bCs w:val="0"/>
                <w:color w:val="auto"/>
                <w:kern w:val="2"/>
                <w:sz w:val="24"/>
                <w:szCs w:val="24"/>
                <w:highlight w:val="none"/>
                <w:lang w:val="en-US" w:eastAsia="zh-CN" w:bidi="ar-SA"/>
              </w:rPr>
            </w:pPr>
          </w:p>
          <w:p w14:paraId="386E5A22">
            <w:pPr>
              <w:pStyle w:val="25"/>
              <w:keepNext w:val="0"/>
              <w:keepLines w:val="0"/>
              <w:pageBreakBefore w:val="0"/>
              <w:widowControl w:val="0"/>
              <w:wordWrap/>
              <w:topLinePunct w:val="0"/>
              <w:bidi w:val="0"/>
              <w:spacing w:line="360" w:lineRule="auto"/>
              <w:ind w:firstLine="480" w:firstLineChars="200"/>
              <w:rPr>
                <w:rFonts w:hint="default" w:ascii="Times New Roman" w:hAnsi="Times New Roman" w:eastAsia="宋体" w:cs="Times New Roman"/>
                <w:b w:val="0"/>
                <w:bCs w:val="0"/>
                <w:color w:val="auto"/>
                <w:kern w:val="2"/>
                <w:sz w:val="24"/>
                <w:szCs w:val="24"/>
                <w:highlight w:val="none"/>
                <w:lang w:val="en-US" w:eastAsia="zh-CN" w:bidi="ar-SA"/>
              </w:rPr>
            </w:pPr>
          </w:p>
          <w:p w14:paraId="78573EDA">
            <w:pPr>
              <w:pStyle w:val="25"/>
              <w:keepNext w:val="0"/>
              <w:keepLines w:val="0"/>
              <w:pageBreakBefore w:val="0"/>
              <w:widowControl w:val="0"/>
              <w:wordWrap/>
              <w:topLinePunct w:val="0"/>
              <w:bidi w:val="0"/>
              <w:spacing w:line="360" w:lineRule="auto"/>
              <w:ind w:firstLine="480" w:firstLineChars="200"/>
              <w:rPr>
                <w:rFonts w:hint="default" w:ascii="Times New Roman" w:hAnsi="Times New Roman" w:eastAsia="宋体" w:cs="Times New Roman"/>
                <w:b w:val="0"/>
                <w:bCs w:val="0"/>
                <w:color w:val="auto"/>
                <w:kern w:val="2"/>
                <w:sz w:val="24"/>
                <w:szCs w:val="24"/>
                <w:highlight w:val="none"/>
                <w:lang w:val="en-US" w:eastAsia="zh-CN" w:bidi="ar-SA"/>
              </w:rPr>
            </w:pPr>
          </w:p>
          <w:p w14:paraId="218CE666">
            <w:pPr>
              <w:pStyle w:val="25"/>
              <w:keepNext w:val="0"/>
              <w:keepLines w:val="0"/>
              <w:pageBreakBefore w:val="0"/>
              <w:widowControl w:val="0"/>
              <w:wordWrap/>
              <w:topLinePunct w:val="0"/>
              <w:bidi w:val="0"/>
              <w:spacing w:line="360" w:lineRule="auto"/>
              <w:ind w:firstLine="480" w:firstLineChars="200"/>
              <w:rPr>
                <w:rFonts w:hint="default" w:ascii="Times New Roman" w:hAnsi="Times New Roman" w:eastAsia="宋体" w:cs="Times New Roman"/>
                <w:b w:val="0"/>
                <w:bCs w:val="0"/>
                <w:color w:val="auto"/>
                <w:kern w:val="2"/>
                <w:sz w:val="24"/>
                <w:szCs w:val="24"/>
                <w:highlight w:val="none"/>
                <w:lang w:val="en-US" w:eastAsia="zh-CN" w:bidi="ar-SA"/>
              </w:rPr>
            </w:pPr>
          </w:p>
          <w:p w14:paraId="215C2DBF">
            <w:pPr>
              <w:pStyle w:val="26"/>
              <w:rPr>
                <w:rFonts w:hint="default"/>
                <w:lang w:val="en-US" w:eastAsia="zh-CN"/>
              </w:rPr>
            </w:pPr>
          </w:p>
        </w:tc>
      </w:tr>
    </w:tbl>
    <w:p w14:paraId="5B5ACA09">
      <w:pPr>
        <w:keepNext w:val="0"/>
        <w:keepLines w:val="0"/>
        <w:pageBreakBefore w:val="0"/>
        <w:widowControl w:val="0"/>
        <w:wordWrap/>
        <w:topLinePunct w:val="0"/>
        <w:bidi w:val="0"/>
        <w:spacing w:line="360" w:lineRule="auto"/>
        <w:outlineLvl w:val="9"/>
        <w:rPr>
          <w:rFonts w:hint="default" w:ascii="Times New Roman" w:hAnsi="Times New Roman" w:eastAsia="黑体" w:cs="Times New Roman"/>
          <w:color w:val="auto"/>
          <w:sz w:val="30"/>
          <w:highlight w:val="none"/>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64AA9996">
      <w:pPr>
        <w:pStyle w:val="16"/>
        <w:keepNext w:val="0"/>
        <w:keepLines w:val="0"/>
        <w:pageBreakBefore w:val="0"/>
        <w:widowControl w:val="0"/>
        <w:wordWrap/>
        <w:topLinePunct w:val="0"/>
        <w:bidi w:val="0"/>
        <w:jc w:val="center"/>
        <w:outlineLvl w:val="0"/>
        <w:rPr>
          <w:rFonts w:hint="default" w:ascii="Times New Roman" w:hAnsi="Times New Roman" w:eastAsia="黑体" w:cs="Times New Roman"/>
          <w:snapToGrid w:val="0"/>
          <w:color w:val="auto"/>
          <w:sz w:val="30"/>
          <w:szCs w:val="30"/>
          <w:highlight w:val="none"/>
        </w:rPr>
      </w:pPr>
      <w:bookmarkStart w:id="13" w:name="_Toc13067"/>
      <w:r>
        <w:rPr>
          <w:rFonts w:hint="default" w:ascii="Times New Roman" w:hAnsi="Times New Roman" w:eastAsia="黑体" w:cs="Times New Roman"/>
          <w:snapToGrid w:val="0"/>
          <w:color w:val="auto"/>
          <w:sz w:val="30"/>
          <w:szCs w:val="30"/>
          <w:highlight w:val="none"/>
        </w:rPr>
        <w:t>二、建设内容</w:t>
      </w:r>
      <w:bookmarkEnd w:id="13"/>
    </w:p>
    <w:tbl>
      <w:tblPr>
        <w:tblStyle w:val="18"/>
        <w:tblW w:w="504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148"/>
      </w:tblGrid>
      <w:tr w14:paraId="61BD2B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 w:hRule="atLeast"/>
          <w:jc w:val="center"/>
        </w:trPr>
        <w:tc>
          <w:tcPr>
            <w:tcW w:w="264" w:type="pct"/>
            <w:noWrap w:val="0"/>
            <w:vAlign w:val="center"/>
          </w:tcPr>
          <w:p w14:paraId="6019F734">
            <w:pPr>
              <w:keepNext w:val="0"/>
              <w:keepLines w:val="0"/>
              <w:pageBreakBefore w:val="0"/>
              <w:widowControl w:val="0"/>
              <w:wordWrap/>
              <w:topLinePunct w:val="0"/>
              <w:bidi w:val="0"/>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地理位置</w:t>
            </w:r>
          </w:p>
        </w:tc>
        <w:tc>
          <w:tcPr>
            <w:tcW w:w="4735" w:type="pct"/>
            <w:noWrap w:val="0"/>
            <w:vAlign w:val="center"/>
          </w:tcPr>
          <w:p w14:paraId="609CBF71">
            <w:pPr>
              <w:keepNext w:val="0"/>
              <w:keepLines w:val="0"/>
              <w:pageBreakBefore w:val="0"/>
              <w:widowControl w:val="0"/>
              <w:wordWrap/>
              <w:topLinePunct w:val="0"/>
              <w:bidi w:val="0"/>
              <w:spacing w:line="360" w:lineRule="auto"/>
              <w:ind w:firstLine="480" w:firstLineChars="200"/>
              <w:jc w:val="both"/>
              <w:rPr>
                <w:rFonts w:hint="default" w:ascii="Times New Roman" w:hAnsi="Times New Roman" w:cs="Times New Roman"/>
                <w:color w:val="auto"/>
                <w:highlight w:val="none"/>
                <w:lang w:val="en-US" w:eastAsia="zh-CN"/>
              </w:rPr>
            </w:pPr>
            <w:r>
              <w:rPr>
                <w:rFonts w:hint="eastAsia" w:eastAsia="宋体" w:cs="Times New Roman"/>
                <w:color w:val="auto"/>
                <w:kern w:val="0"/>
                <w:sz w:val="24"/>
                <w:highlight w:val="none"/>
                <w:lang w:val="en-US" w:eastAsia="zh-CN"/>
              </w:rPr>
              <w:t>本项目</w:t>
            </w:r>
            <w:r>
              <w:rPr>
                <w:rFonts w:hint="default" w:ascii="Times New Roman" w:hAnsi="Times New Roman" w:eastAsia="宋体" w:cs="Times New Roman"/>
                <w:color w:val="auto"/>
                <w:kern w:val="0"/>
                <w:sz w:val="24"/>
                <w:highlight w:val="none"/>
                <w:lang w:val="en-US" w:eastAsia="zh-CN"/>
              </w:rPr>
              <w:t>位于</w:t>
            </w:r>
            <w:r>
              <w:rPr>
                <w:rFonts w:hint="default" w:ascii="Times New Roman" w:hAnsi="Times New Roman" w:eastAsia="宋体" w:cs="Times New Roman"/>
                <w:color w:val="auto"/>
                <w:sz w:val="24"/>
                <w:szCs w:val="24"/>
                <w:highlight w:val="none"/>
                <w:lang w:val="en-US" w:eastAsia="zh-CN"/>
              </w:rPr>
              <w:t>乌鲁木齐市甘泉堡经济技术开发区（工业区）</w:t>
            </w:r>
            <w:r>
              <w:rPr>
                <w:rFonts w:hint="eastAsia" w:ascii="Times New Roman" w:hAnsi="Times New Roman" w:eastAsia="宋体" w:cs="Times New Roman"/>
                <w:color w:val="auto"/>
                <w:sz w:val="24"/>
                <w:szCs w:val="24"/>
                <w:highlight w:val="none"/>
                <w:lang w:val="en-US" w:eastAsia="zh-CN"/>
              </w:rPr>
              <w:t>，中心地理坐标为</w:t>
            </w:r>
            <w:r>
              <w:rPr>
                <w:rFonts w:hint="default" w:ascii="Times New Roman" w:hAnsi="Times New Roman" w:cs="Times New Roman"/>
                <w:color w:val="auto"/>
                <w:sz w:val="24"/>
                <w:szCs w:val="24"/>
                <w:highlight w:val="none"/>
                <w:lang w:val="en-US" w:eastAsia="zh-CN"/>
              </w:rPr>
              <w:t>E</w:t>
            </w:r>
            <w:r>
              <w:rPr>
                <w:rFonts w:hint="default" w:ascii="Times New Roman" w:hAnsi="Times New Roman" w:cs="Times New Roman"/>
                <w:color w:val="auto"/>
                <w:sz w:val="24"/>
                <w:szCs w:val="24"/>
                <w:highlight w:val="none"/>
                <w:lang w:val="en-US"/>
              </w:rPr>
              <w:t>87°46′17.799″</w:t>
            </w:r>
            <w:r>
              <w:rPr>
                <w:rFonts w:hint="default" w:ascii="Times New Roman" w:hAnsi="Times New Roman" w:cs="Times New Roman"/>
                <w:color w:val="auto"/>
                <w:sz w:val="24"/>
                <w:szCs w:val="24"/>
                <w:highlight w:val="none"/>
                <w:lang w:val="en-US" w:eastAsia="zh-CN"/>
              </w:rPr>
              <w:t>，N</w:t>
            </w:r>
            <w:r>
              <w:rPr>
                <w:rFonts w:hint="default" w:ascii="Times New Roman" w:hAnsi="Times New Roman" w:cs="Times New Roman"/>
                <w:color w:val="auto"/>
                <w:sz w:val="24"/>
                <w:szCs w:val="24"/>
                <w:highlight w:val="none"/>
                <w:lang w:val="en-US"/>
              </w:rPr>
              <w:t>44°16′39.076″</w:t>
            </w:r>
            <w:r>
              <w:rPr>
                <w:rFonts w:hint="default" w:ascii="Times New Roman" w:hAnsi="Times New Roman" w:eastAsia="宋体" w:cs="Times New Roman"/>
                <w:color w:val="auto"/>
                <w:kern w:val="0"/>
                <w:sz w:val="24"/>
                <w:highlight w:val="none"/>
                <w:lang w:val="en-US" w:eastAsia="zh-CN"/>
              </w:rPr>
              <w:t>，</w:t>
            </w:r>
            <w:r>
              <w:rPr>
                <w:rFonts w:hint="eastAsia" w:eastAsia="宋体" w:cs="Times New Roman"/>
                <w:color w:val="auto"/>
                <w:kern w:val="0"/>
                <w:sz w:val="24"/>
                <w:highlight w:val="none"/>
                <w:lang w:val="en-US" w:eastAsia="zh-CN"/>
              </w:rPr>
              <w:t>项目区东侧700m为乌鲁木齐市天恒泉环保科技有限公司，西侧1400m为新疆中部合盛硅业有限公司，南侧450m为梧桐街，具体见2-1</w:t>
            </w:r>
            <w:r>
              <w:rPr>
                <w:rFonts w:hint="default" w:ascii="Times New Roman" w:hAnsi="Times New Roman" w:cs="Times New Roman"/>
                <w:color w:val="auto"/>
                <w:sz w:val="24"/>
                <w:szCs w:val="24"/>
                <w:highlight w:val="none"/>
                <w:lang w:val="en-US" w:eastAsia="zh-CN"/>
              </w:rPr>
              <w:t>地理位置图、</w:t>
            </w:r>
            <w:r>
              <w:rPr>
                <w:rFonts w:hint="eastAsia" w:cs="Times New Roman"/>
                <w:color w:val="auto"/>
                <w:sz w:val="24"/>
                <w:szCs w:val="24"/>
                <w:highlight w:val="none"/>
                <w:lang w:val="en-US" w:eastAsia="zh-CN"/>
              </w:rPr>
              <w:t>2-2</w:t>
            </w:r>
            <w:r>
              <w:rPr>
                <w:rFonts w:hint="default" w:ascii="Times New Roman" w:hAnsi="Times New Roman" w:cs="Times New Roman"/>
                <w:color w:val="auto"/>
                <w:sz w:val="24"/>
                <w:szCs w:val="24"/>
                <w:highlight w:val="none"/>
                <w:lang w:val="en-US" w:eastAsia="zh-CN"/>
              </w:rPr>
              <w:t>周边关系图。</w:t>
            </w:r>
          </w:p>
        </w:tc>
      </w:tr>
      <w:tr w14:paraId="0C7977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3" w:hRule="atLeast"/>
          <w:jc w:val="center"/>
        </w:trPr>
        <w:tc>
          <w:tcPr>
            <w:tcW w:w="264" w:type="pct"/>
            <w:noWrap w:val="0"/>
            <w:vAlign w:val="center"/>
          </w:tcPr>
          <w:p w14:paraId="0BFDC427">
            <w:pPr>
              <w:keepNext w:val="0"/>
              <w:keepLines w:val="0"/>
              <w:pageBreakBefore w:val="0"/>
              <w:widowControl w:val="0"/>
              <w:wordWrap/>
              <w:topLinePunct w:val="0"/>
              <w:bidi w:val="0"/>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项目组成及规模</w:t>
            </w:r>
          </w:p>
        </w:tc>
        <w:tc>
          <w:tcPr>
            <w:tcW w:w="4735" w:type="pct"/>
            <w:noWrap w:val="0"/>
            <w:vAlign w:val="center"/>
          </w:tcPr>
          <w:p w14:paraId="05AA85F7">
            <w:pPr>
              <w:keepNext w:val="0"/>
              <w:keepLines w:val="0"/>
              <w:pageBreakBefore w:val="0"/>
              <w:widowControl w:val="0"/>
              <w:wordWrap/>
              <w:topLinePunct w:val="0"/>
              <w:bidi w:val="0"/>
              <w:spacing w:line="360" w:lineRule="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cs="Times New Roman"/>
                <w:b/>
                <w:color w:val="auto"/>
                <w:sz w:val="24"/>
                <w:szCs w:val="24"/>
                <w:highlight w:val="none"/>
                <w:lang w:val="en-US" w:eastAsia="zh-CN"/>
              </w:rPr>
              <w:t>2.1</w:t>
            </w:r>
            <w:r>
              <w:rPr>
                <w:rFonts w:hint="eastAsia" w:cs="Times New Roman"/>
                <w:b/>
                <w:color w:val="auto"/>
                <w:sz w:val="24"/>
                <w:szCs w:val="24"/>
                <w:highlight w:val="none"/>
                <w:lang w:val="en-US" w:eastAsia="zh-CN"/>
              </w:rPr>
              <w:t>建设内容及规模</w:t>
            </w:r>
          </w:p>
          <w:p w14:paraId="10F33D23">
            <w:pPr>
              <w:keepNext w:val="0"/>
              <w:keepLines w:val="0"/>
              <w:pageBreakBefore w:val="0"/>
              <w:widowControl w:val="0"/>
              <w:numPr>
                <w:ilvl w:val="0"/>
                <w:numId w:val="0"/>
              </w:numPr>
              <w:wordWrap/>
              <w:topLinePunct w:val="0"/>
              <w:bidi w:val="0"/>
              <w:spacing w:line="360" w:lineRule="auto"/>
              <w:ind w:firstLine="480"/>
              <w:jc w:val="both"/>
              <w:rPr>
                <w:rFonts w:hint="eastAsia" w:ascii="Times New Roman" w:hAnsi="Times New Roman" w:eastAsia="宋体" w:cs="Times New Roman"/>
                <w:bCs/>
                <w:color w:val="auto"/>
                <w:sz w:val="24"/>
                <w:szCs w:val="24"/>
                <w:highlight w:val="none"/>
                <w:lang w:val="en-US" w:eastAsia="zh-CN"/>
              </w:rPr>
            </w:pPr>
            <w:r>
              <w:rPr>
                <w:rFonts w:hint="eastAsia" w:eastAsia="宋体" w:cs="Times New Roman"/>
                <w:bCs/>
                <w:color w:val="auto"/>
                <w:sz w:val="24"/>
                <w:szCs w:val="24"/>
                <w:highlight w:val="none"/>
                <w:lang w:val="en-US" w:eastAsia="zh-CN"/>
              </w:rPr>
              <w:t>新建储能电站一座，储能电站围墙内面积为91134m</w:t>
            </w:r>
            <w:r>
              <w:rPr>
                <w:rFonts w:hint="eastAsia" w:eastAsia="宋体" w:cs="Times New Roman"/>
                <w:bCs/>
                <w:color w:val="auto"/>
                <w:sz w:val="24"/>
                <w:szCs w:val="24"/>
                <w:highlight w:val="none"/>
                <w:vertAlign w:val="superscript"/>
                <w:lang w:val="en-US" w:eastAsia="zh-CN"/>
              </w:rPr>
              <w:t>2</w:t>
            </w:r>
            <w:r>
              <w:rPr>
                <w:rFonts w:hint="eastAsia" w:eastAsia="宋体" w:cs="Times New Roman"/>
                <w:bCs/>
                <w:color w:val="auto"/>
                <w:sz w:val="24"/>
                <w:szCs w:val="24"/>
                <w:highlight w:val="none"/>
                <w:lang w:val="en-US" w:eastAsia="zh-CN"/>
              </w:rPr>
              <w:t>，分为两个区域，</w:t>
            </w:r>
            <w:r>
              <w:rPr>
                <w:rFonts w:hint="eastAsia" w:ascii="Times New Roman" w:hAnsi="Times New Roman" w:eastAsia="宋体" w:cs="Times New Roman"/>
                <w:bCs/>
                <w:color w:val="auto"/>
                <w:sz w:val="24"/>
                <w:szCs w:val="24"/>
                <w:highlight w:val="none"/>
                <w:lang w:val="en-US" w:eastAsia="zh-CN"/>
              </w:rPr>
              <w:t>南侧为220kV升压站区域，北侧为储能设备区。</w:t>
            </w:r>
          </w:p>
          <w:p w14:paraId="6E07ADE3">
            <w:pPr>
              <w:keepNext w:val="0"/>
              <w:keepLines w:val="0"/>
              <w:pageBreakBefore w:val="0"/>
              <w:widowControl w:val="0"/>
              <w:numPr>
                <w:ilvl w:val="0"/>
                <w:numId w:val="0"/>
              </w:numPr>
              <w:wordWrap/>
              <w:topLinePunct w:val="0"/>
              <w:bidi w:val="0"/>
              <w:spacing w:line="360" w:lineRule="auto"/>
              <w:ind w:firstLine="480"/>
              <w:jc w:val="both"/>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（1）升压站区</w:t>
            </w:r>
          </w:p>
          <w:p w14:paraId="5FD5275A">
            <w:pPr>
              <w:keepNext w:val="0"/>
              <w:keepLines w:val="0"/>
              <w:pageBreakBefore w:val="0"/>
              <w:widowControl w:val="0"/>
              <w:numPr>
                <w:ilvl w:val="0"/>
                <w:numId w:val="0"/>
              </w:numPr>
              <w:wordWrap/>
              <w:topLinePunct w:val="0"/>
              <w:bidi w:val="0"/>
              <w:spacing w:line="360" w:lineRule="auto"/>
              <w:ind w:firstLine="480"/>
              <w:jc w:val="both"/>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220kV升压站区域</w:t>
            </w:r>
            <w:r>
              <w:rPr>
                <w:rFonts w:hint="default" w:ascii="Times New Roman" w:hAnsi="Times New Roman" w:eastAsia="宋体" w:cs="Times New Roman"/>
                <w:bCs/>
                <w:color w:val="auto"/>
                <w:sz w:val="24"/>
                <w:szCs w:val="24"/>
                <w:highlight w:val="none"/>
                <w:lang w:val="en-US" w:eastAsia="zh-CN"/>
              </w:rPr>
              <w:t>新建</w:t>
            </w:r>
            <w:r>
              <w:rPr>
                <w:rFonts w:hint="eastAsia" w:ascii="Times New Roman" w:hAnsi="Times New Roman" w:eastAsia="宋体" w:cs="Times New Roman"/>
                <w:bCs/>
                <w:color w:val="auto"/>
                <w:sz w:val="24"/>
                <w:szCs w:val="24"/>
                <w:highlight w:val="none"/>
                <w:lang w:val="en-US" w:eastAsia="zh-CN"/>
              </w:rPr>
              <w:t>2</w:t>
            </w:r>
            <w:r>
              <w:rPr>
                <w:rFonts w:hint="default" w:ascii="Times New Roman" w:hAnsi="Times New Roman" w:eastAsia="宋体" w:cs="Times New Roman"/>
                <w:bCs/>
                <w:color w:val="auto"/>
                <w:sz w:val="24"/>
                <w:szCs w:val="24"/>
                <w:highlight w:val="none"/>
                <w:lang w:val="en-US" w:eastAsia="zh-CN"/>
              </w:rPr>
              <w:t>台</w:t>
            </w:r>
            <w:r>
              <w:rPr>
                <w:rFonts w:hint="eastAsia" w:ascii="Times New Roman" w:hAnsi="Times New Roman" w:eastAsia="宋体" w:cs="Times New Roman"/>
                <w:bCs/>
                <w:color w:val="auto"/>
                <w:sz w:val="24"/>
                <w:szCs w:val="24"/>
                <w:highlight w:val="none"/>
                <w:lang w:val="en-US" w:eastAsia="zh-CN"/>
              </w:rPr>
              <w:t>240</w:t>
            </w:r>
            <w:r>
              <w:rPr>
                <w:rFonts w:hint="default" w:ascii="Times New Roman" w:hAnsi="Times New Roman" w:eastAsia="宋体" w:cs="Times New Roman"/>
                <w:bCs/>
                <w:color w:val="auto"/>
                <w:sz w:val="24"/>
                <w:szCs w:val="24"/>
                <w:highlight w:val="none"/>
                <w:lang w:val="en-US" w:eastAsia="zh-CN"/>
              </w:rPr>
              <w:t>MVA主变</w:t>
            </w:r>
            <w:r>
              <w:rPr>
                <w:rFonts w:hint="eastAsia" w:ascii="Times New Roman" w:hAnsi="Times New Roman" w:eastAsia="宋体" w:cs="Times New Roman"/>
                <w:bCs/>
                <w:color w:val="auto"/>
                <w:sz w:val="24"/>
                <w:szCs w:val="24"/>
                <w:highlight w:val="none"/>
                <w:lang w:val="en-US" w:eastAsia="zh-CN"/>
              </w:rPr>
              <w:t>，配套建设有电气预制舱、GIS构架、SVG、站用变、接地变、备用变以及办公生活区。</w:t>
            </w:r>
          </w:p>
          <w:p w14:paraId="52647CC4">
            <w:pPr>
              <w:keepNext w:val="0"/>
              <w:keepLines w:val="0"/>
              <w:pageBreakBefore w:val="0"/>
              <w:widowControl w:val="0"/>
              <w:numPr>
                <w:ilvl w:val="0"/>
                <w:numId w:val="0"/>
              </w:numPr>
              <w:wordWrap/>
              <w:topLinePunct w:val="0"/>
              <w:bidi w:val="0"/>
              <w:spacing w:line="360" w:lineRule="auto"/>
              <w:ind w:firstLine="480"/>
              <w:jc w:val="both"/>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（2）储能区</w:t>
            </w:r>
          </w:p>
          <w:p w14:paraId="2B5E388C">
            <w:pPr>
              <w:keepNext w:val="0"/>
              <w:keepLines w:val="0"/>
              <w:pageBreakBefore w:val="0"/>
              <w:widowControl w:val="0"/>
              <w:numPr>
                <w:ilvl w:val="0"/>
                <w:numId w:val="0"/>
              </w:numPr>
              <w:wordWrap/>
              <w:topLinePunct w:val="0"/>
              <w:bidi w:val="0"/>
              <w:spacing w:line="360" w:lineRule="auto"/>
              <w:ind w:firstLine="480"/>
              <w:jc w:val="both"/>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储能设备区装机容量为400MW/1600MWh，采用370MW/1484.44MWh磷酸铁锂电池、6MW/21.9MWh钠离子电池以及24MW/96MWh全钒液流电池，</w:t>
            </w:r>
            <w:r>
              <w:rPr>
                <w:rFonts w:hint="eastAsia" w:eastAsia="宋体" w:cs="Times New Roman"/>
                <w:bCs/>
                <w:color w:val="auto"/>
                <w:sz w:val="24"/>
                <w:szCs w:val="24"/>
                <w:highlight w:val="none"/>
                <w:lang w:val="en-US" w:eastAsia="zh-CN"/>
              </w:rPr>
              <w:t>包含74套磷酸铁锂储能单元（内含74台储能电控舱和296台储能电池舱）和3套钠离子电池储能单元（内含3台储能电控舱和6台储能电池舱），储能区域最北布置有全钒液储能室。</w:t>
            </w:r>
            <w:r>
              <w:rPr>
                <w:rFonts w:hint="eastAsia" w:ascii="Times New Roman" w:hAnsi="Times New Roman" w:eastAsia="宋体" w:cs="Times New Roman"/>
                <w:bCs/>
                <w:color w:val="auto"/>
                <w:sz w:val="24"/>
                <w:szCs w:val="24"/>
                <w:highlight w:val="none"/>
                <w:lang w:val="en-US" w:eastAsia="zh-CN"/>
              </w:rPr>
              <w:t>储能系统以17回35kV集电线路（包括15回磷酸铁锂电池储能回路、1回钠离子电池储能回路、1回全钒液流电池储能回路）接入升压站内35kV配电装置。</w:t>
            </w:r>
          </w:p>
          <w:p w14:paraId="21CB581A">
            <w:pPr>
              <w:keepNext w:val="0"/>
              <w:keepLines w:val="0"/>
              <w:pageBreakBefore w:val="0"/>
              <w:widowControl w:val="0"/>
              <w:wordWrap/>
              <w:topLinePunct w:val="0"/>
              <w:bidi w:val="0"/>
              <w:spacing w:line="360" w:lineRule="auto"/>
              <w:ind w:left="480" w:hanging="482" w:hangingChars="200"/>
              <w:jc w:val="both"/>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2.2项目组成</w:t>
            </w:r>
            <w:r>
              <w:rPr>
                <w:rFonts w:hint="eastAsia" w:eastAsia="宋体" w:cs="Times New Roman"/>
                <w:bCs/>
                <w:color w:val="auto"/>
                <w:sz w:val="24"/>
                <w:szCs w:val="24"/>
                <w:highlight w:val="none"/>
                <w:lang w:val="en-US" w:eastAsia="zh-CN"/>
              </w:rPr>
              <w:br w:type="textWrapping"/>
            </w:r>
            <w:r>
              <w:rPr>
                <w:rFonts w:hint="eastAsia" w:eastAsia="宋体" w:cs="Times New Roman"/>
                <w:bCs/>
                <w:color w:val="auto"/>
                <w:sz w:val="24"/>
                <w:szCs w:val="24"/>
                <w:highlight w:val="none"/>
                <w:lang w:val="en-US" w:eastAsia="zh-CN"/>
              </w:rPr>
              <w:t>本项目</w:t>
            </w:r>
            <w:r>
              <w:rPr>
                <w:rFonts w:hint="default" w:ascii="Times New Roman" w:hAnsi="Times New Roman" w:eastAsia="宋体" w:cs="Times New Roman"/>
                <w:bCs/>
                <w:color w:val="auto"/>
                <w:sz w:val="24"/>
                <w:szCs w:val="24"/>
                <w:highlight w:val="none"/>
                <w:lang w:val="en-US" w:eastAsia="zh-CN"/>
              </w:rPr>
              <w:t>组成见表2-1。</w:t>
            </w:r>
          </w:p>
          <w:p w14:paraId="3BBF3EA9">
            <w:pPr>
              <w:pStyle w:val="16"/>
              <w:keepNext w:val="0"/>
              <w:keepLines w:val="0"/>
              <w:pageBreakBefore w:val="0"/>
              <w:widowControl w:val="0"/>
              <w:wordWrap/>
              <w:topLinePunct w:val="0"/>
              <w:bidi w:val="0"/>
              <w:adjustRightInd w:val="0"/>
              <w:snapToGrid w:val="0"/>
              <w:spacing w:before="0" w:beforeAutospacing="0" w:after="0" w:afterAutospacing="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w:t>
            </w:r>
            <w:r>
              <w:rPr>
                <w:rFonts w:hint="default" w:ascii="Times New Roman" w:hAnsi="Times New Roman" w:cs="Times New Roman"/>
                <w:b/>
                <w:color w:val="auto"/>
                <w:sz w:val="21"/>
                <w:szCs w:val="21"/>
                <w:highlight w:val="none"/>
                <w:lang w:val="en-US" w:eastAsia="zh-CN"/>
              </w:rPr>
              <w:t xml:space="preserve">2-1 </w:t>
            </w:r>
            <w:r>
              <w:rPr>
                <w:rFonts w:hint="default" w:ascii="Times New Roman" w:hAnsi="Times New Roman" w:cs="Times New Roman"/>
                <w:b/>
                <w:color w:val="auto"/>
                <w:sz w:val="21"/>
                <w:szCs w:val="21"/>
                <w:highlight w:val="none"/>
              </w:rPr>
              <w:t xml:space="preserve"> 项目组成一览表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8"/>
              <w:gridCol w:w="471"/>
              <w:gridCol w:w="684"/>
              <w:gridCol w:w="1169"/>
              <w:gridCol w:w="5077"/>
            </w:tblGrid>
            <w:tr w14:paraId="4FC22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7" w:type="pct"/>
                  <w:noWrap w:val="0"/>
                  <w:tcMar>
                    <w:left w:w="28" w:type="dxa"/>
                    <w:right w:w="28" w:type="dxa"/>
                  </w:tcMar>
                  <w:vAlign w:val="center"/>
                </w:tcPr>
                <w:p w14:paraId="054F92F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项目工程</w:t>
                  </w:r>
                </w:p>
              </w:tc>
              <w:tc>
                <w:tcPr>
                  <w:tcW w:w="1467" w:type="pct"/>
                  <w:gridSpan w:val="3"/>
                  <w:noWrap w:val="0"/>
                  <w:tcMar>
                    <w:left w:w="28" w:type="dxa"/>
                    <w:right w:w="28" w:type="dxa"/>
                  </w:tcMar>
                  <w:vAlign w:val="center"/>
                </w:tcPr>
                <w:p w14:paraId="41EA3DE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工程名称</w:t>
                  </w:r>
                </w:p>
              </w:tc>
              <w:tc>
                <w:tcPr>
                  <w:tcW w:w="3205" w:type="pct"/>
                  <w:noWrap w:val="0"/>
                  <w:tcMar>
                    <w:left w:w="28" w:type="dxa"/>
                    <w:right w:w="28" w:type="dxa"/>
                  </w:tcMar>
                  <w:vAlign w:val="center"/>
                </w:tcPr>
                <w:p w14:paraId="0BAB819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工程内容</w:t>
                  </w:r>
                </w:p>
              </w:tc>
            </w:tr>
            <w:tr w14:paraId="0F320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7" w:type="pct"/>
                  <w:vMerge w:val="restart"/>
                  <w:noWrap w:val="0"/>
                  <w:tcMar>
                    <w:left w:w="28" w:type="dxa"/>
                    <w:right w:w="28" w:type="dxa"/>
                  </w:tcMar>
                  <w:vAlign w:val="center"/>
                </w:tcPr>
                <w:p w14:paraId="187E688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主体工程</w:t>
                  </w:r>
                </w:p>
              </w:tc>
              <w:tc>
                <w:tcPr>
                  <w:tcW w:w="297" w:type="pct"/>
                  <w:vMerge w:val="restart"/>
                  <w:noWrap w:val="0"/>
                  <w:tcMar>
                    <w:left w:w="28" w:type="dxa"/>
                    <w:right w:w="28" w:type="dxa"/>
                  </w:tcMar>
                  <w:vAlign w:val="center"/>
                </w:tcPr>
                <w:p w14:paraId="37E4BEF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储能电站</w:t>
                  </w:r>
                </w:p>
              </w:tc>
              <w:tc>
                <w:tcPr>
                  <w:tcW w:w="431" w:type="pct"/>
                  <w:vMerge w:val="restart"/>
                  <w:noWrap w:val="0"/>
                  <w:tcMar>
                    <w:left w:w="28" w:type="dxa"/>
                    <w:right w:w="28" w:type="dxa"/>
                  </w:tcMar>
                  <w:vAlign w:val="center"/>
                </w:tcPr>
                <w:p w14:paraId="45B9870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p w14:paraId="2355F50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220kV升压站区</w:t>
                  </w:r>
                </w:p>
              </w:tc>
              <w:tc>
                <w:tcPr>
                  <w:tcW w:w="738" w:type="pct"/>
                  <w:noWrap w:val="0"/>
                  <w:tcMar>
                    <w:left w:w="28" w:type="dxa"/>
                    <w:right w:w="28" w:type="dxa"/>
                  </w:tcMar>
                  <w:vAlign w:val="center"/>
                </w:tcPr>
                <w:p w14:paraId="2F8D7B7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主变</w:t>
                  </w:r>
                </w:p>
              </w:tc>
              <w:tc>
                <w:tcPr>
                  <w:tcW w:w="3205" w:type="pct"/>
                  <w:noWrap w:val="0"/>
                  <w:tcMar>
                    <w:left w:w="28" w:type="dxa"/>
                    <w:right w:w="28" w:type="dxa"/>
                  </w:tcMar>
                  <w:vAlign w:val="center"/>
                </w:tcPr>
                <w:p w14:paraId="5969EAD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建</w:t>
                  </w:r>
                  <w:r>
                    <w:rPr>
                      <w:rFonts w:hint="default" w:ascii="Times New Roman" w:hAnsi="Times New Roman" w:eastAsia="宋体" w:cs="Times New Roman"/>
                      <w:color w:val="auto"/>
                      <w:spacing w:val="-6"/>
                      <w:sz w:val="21"/>
                      <w:szCs w:val="21"/>
                      <w:highlight w:val="none"/>
                      <w:lang w:val="en-US" w:eastAsia="zh-CN"/>
                    </w:rPr>
                    <w:t>设</w:t>
                  </w:r>
                  <w:r>
                    <w:rPr>
                      <w:rFonts w:hint="eastAsia" w:ascii="Times New Roman" w:hAnsi="Times New Roman" w:eastAsia="宋体" w:cs="Times New Roman"/>
                      <w:color w:val="auto"/>
                      <w:spacing w:val="-6"/>
                      <w:sz w:val="21"/>
                      <w:szCs w:val="21"/>
                      <w:highlight w:val="none"/>
                      <w:lang w:val="en-US" w:eastAsia="zh-CN"/>
                    </w:rPr>
                    <w:t>2</w:t>
                  </w:r>
                  <w:r>
                    <w:rPr>
                      <w:rFonts w:hint="default" w:ascii="Times New Roman" w:hAnsi="Times New Roman" w:eastAsia="宋体" w:cs="Times New Roman"/>
                      <w:color w:val="auto"/>
                      <w:spacing w:val="-6"/>
                      <w:sz w:val="21"/>
                      <w:szCs w:val="21"/>
                      <w:highlight w:val="none"/>
                      <w:lang w:val="en-US" w:eastAsia="zh-CN"/>
                    </w:rPr>
                    <w:t>×</w:t>
                  </w:r>
                  <w:r>
                    <w:rPr>
                      <w:rFonts w:hint="eastAsia" w:ascii="Times New Roman" w:hAnsi="Times New Roman" w:eastAsia="宋体" w:cs="Times New Roman"/>
                      <w:color w:val="auto"/>
                      <w:spacing w:val="-6"/>
                      <w:sz w:val="21"/>
                      <w:szCs w:val="21"/>
                      <w:highlight w:val="none"/>
                      <w:lang w:val="en-US" w:eastAsia="zh-CN"/>
                    </w:rPr>
                    <w:t>240</w:t>
                  </w:r>
                  <w:r>
                    <w:rPr>
                      <w:rFonts w:hint="default" w:ascii="Times New Roman" w:hAnsi="Times New Roman" w:eastAsia="宋体" w:cs="Times New Roman"/>
                      <w:color w:val="auto"/>
                      <w:spacing w:val="-6"/>
                      <w:sz w:val="21"/>
                      <w:szCs w:val="21"/>
                      <w:highlight w:val="none"/>
                      <w:lang w:val="en-US" w:eastAsia="zh-CN"/>
                    </w:rPr>
                    <w:t>MV</w:t>
                  </w:r>
                  <w:r>
                    <w:rPr>
                      <w:rFonts w:hint="eastAsia" w:ascii="Times New Roman" w:hAnsi="Times New Roman" w:eastAsia="宋体" w:cs="Times New Roman"/>
                      <w:color w:val="auto"/>
                      <w:spacing w:val="-6"/>
                      <w:sz w:val="21"/>
                      <w:szCs w:val="21"/>
                      <w:highlight w:val="none"/>
                      <w:lang w:val="en-US" w:eastAsia="zh-CN"/>
                    </w:rPr>
                    <w:t>A主变</w:t>
                  </w:r>
                </w:p>
              </w:tc>
            </w:tr>
            <w:tr w14:paraId="303E3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27" w:type="pct"/>
                  <w:vMerge w:val="continue"/>
                  <w:noWrap w:val="0"/>
                  <w:tcMar>
                    <w:left w:w="28" w:type="dxa"/>
                    <w:right w:w="28" w:type="dxa"/>
                  </w:tcMar>
                  <w:vAlign w:val="center"/>
                </w:tcPr>
                <w:p w14:paraId="384F1D8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297" w:type="pct"/>
                  <w:vMerge w:val="continue"/>
                  <w:noWrap w:val="0"/>
                  <w:tcMar>
                    <w:left w:w="28" w:type="dxa"/>
                    <w:right w:w="28" w:type="dxa"/>
                  </w:tcMar>
                  <w:vAlign w:val="center"/>
                </w:tcPr>
                <w:p w14:paraId="7CF5EFD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431" w:type="pct"/>
                  <w:vMerge w:val="continue"/>
                  <w:noWrap w:val="0"/>
                  <w:tcMar>
                    <w:left w:w="28" w:type="dxa"/>
                    <w:right w:w="28" w:type="dxa"/>
                  </w:tcMar>
                  <w:vAlign w:val="center"/>
                </w:tcPr>
                <w:p w14:paraId="6831AD0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738" w:type="pct"/>
                  <w:noWrap w:val="0"/>
                  <w:tcMar>
                    <w:left w:w="28" w:type="dxa"/>
                    <w:right w:w="28" w:type="dxa"/>
                  </w:tcMar>
                  <w:vAlign w:val="center"/>
                </w:tcPr>
                <w:p w14:paraId="1947F35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配套装置</w:t>
                  </w:r>
                </w:p>
              </w:tc>
              <w:tc>
                <w:tcPr>
                  <w:tcW w:w="3205" w:type="pct"/>
                  <w:noWrap w:val="0"/>
                  <w:tcMar>
                    <w:left w:w="28" w:type="dxa"/>
                    <w:right w:w="28" w:type="dxa"/>
                  </w:tcMar>
                  <w:vAlign w:val="center"/>
                </w:tcPr>
                <w:p w14:paraId="3E568A20">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配套建设有电气预制舱、GIS构架、SVG、站用变、接地变、备用变等</w:t>
                  </w:r>
                </w:p>
              </w:tc>
            </w:tr>
            <w:tr w14:paraId="6ABE7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7" w:type="pct"/>
                  <w:vMerge w:val="continue"/>
                  <w:noWrap w:val="0"/>
                  <w:tcMar>
                    <w:left w:w="28" w:type="dxa"/>
                    <w:right w:w="28" w:type="dxa"/>
                  </w:tcMar>
                  <w:vAlign w:val="center"/>
                </w:tcPr>
                <w:p w14:paraId="6A3BCF9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297" w:type="pct"/>
                  <w:vMerge w:val="continue"/>
                  <w:noWrap w:val="0"/>
                  <w:tcMar>
                    <w:left w:w="28" w:type="dxa"/>
                    <w:right w:w="28" w:type="dxa"/>
                  </w:tcMar>
                  <w:vAlign w:val="center"/>
                </w:tcPr>
                <w:p w14:paraId="2BC52BF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31" w:type="pct"/>
                  <w:vMerge w:val="continue"/>
                  <w:noWrap w:val="0"/>
                  <w:tcMar>
                    <w:left w:w="28" w:type="dxa"/>
                    <w:right w:w="28" w:type="dxa"/>
                  </w:tcMar>
                  <w:vAlign w:val="center"/>
                </w:tcPr>
                <w:p w14:paraId="4AA61CC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738" w:type="pct"/>
                  <w:noWrap w:val="0"/>
                  <w:tcMar>
                    <w:left w:w="28" w:type="dxa"/>
                    <w:right w:w="28" w:type="dxa"/>
                  </w:tcMar>
                  <w:vAlign w:val="center"/>
                </w:tcPr>
                <w:p w14:paraId="2F99C1B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接线形式</w:t>
                  </w:r>
                </w:p>
              </w:tc>
              <w:tc>
                <w:tcPr>
                  <w:tcW w:w="3205" w:type="pct"/>
                  <w:noWrap w:val="0"/>
                  <w:tcMar>
                    <w:left w:w="28" w:type="dxa"/>
                    <w:right w:w="28" w:type="dxa"/>
                  </w:tcMar>
                  <w:vAlign w:val="center"/>
                </w:tcPr>
                <w:p w14:paraId="168C4AC6">
                  <w:pPr>
                    <w:keepNext w:val="0"/>
                    <w:keepLines w:val="0"/>
                    <w:pageBreakBefore w:val="0"/>
                    <w:widowControl w:val="0"/>
                    <w:suppressLineNumbers w:val="0"/>
                    <w:kinsoku/>
                    <w:wordWrap/>
                    <w:overflowPunct/>
                    <w:topLinePunct w:val="0"/>
                    <w:autoSpaceDE/>
                    <w:autoSpaceDN/>
                    <w:bidi w:val="0"/>
                    <w:adjustRightInd/>
                    <w:spacing w:line="240" w:lineRule="auto"/>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采用双母线接线，规划4回出线，本次1回出线，35kV电气主接线采用单母线接线</w:t>
                  </w:r>
                </w:p>
              </w:tc>
            </w:tr>
            <w:tr w14:paraId="3343E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7" w:type="pct"/>
                  <w:vMerge w:val="continue"/>
                  <w:noWrap w:val="0"/>
                  <w:tcMar>
                    <w:left w:w="28" w:type="dxa"/>
                    <w:right w:w="28" w:type="dxa"/>
                  </w:tcMar>
                  <w:vAlign w:val="center"/>
                </w:tcPr>
                <w:p w14:paraId="18F88B1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297" w:type="pct"/>
                  <w:vMerge w:val="continue"/>
                  <w:noWrap w:val="0"/>
                  <w:tcMar>
                    <w:left w:w="28" w:type="dxa"/>
                    <w:right w:w="28" w:type="dxa"/>
                  </w:tcMar>
                  <w:vAlign w:val="center"/>
                </w:tcPr>
                <w:p w14:paraId="5A1BF9E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31" w:type="pct"/>
                  <w:noWrap w:val="0"/>
                  <w:tcMar>
                    <w:left w:w="28" w:type="dxa"/>
                    <w:right w:w="28" w:type="dxa"/>
                  </w:tcMar>
                  <w:vAlign w:val="center"/>
                </w:tcPr>
                <w:p w14:paraId="056F165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储能区</w:t>
                  </w:r>
                </w:p>
              </w:tc>
              <w:tc>
                <w:tcPr>
                  <w:tcW w:w="738" w:type="pct"/>
                  <w:noWrap w:val="0"/>
                  <w:tcMar>
                    <w:left w:w="28" w:type="dxa"/>
                    <w:right w:w="28" w:type="dxa"/>
                  </w:tcMar>
                  <w:vAlign w:val="center"/>
                </w:tcPr>
                <w:p w14:paraId="43097A6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储能设备</w:t>
                  </w:r>
                </w:p>
              </w:tc>
              <w:tc>
                <w:tcPr>
                  <w:tcW w:w="3205" w:type="pct"/>
                  <w:noWrap w:val="0"/>
                  <w:tcMar>
                    <w:left w:w="28" w:type="dxa"/>
                    <w:right w:w="28" w:type="dxa"/>
                  </w:tcMar>
                  <w:vAlign w:val="center"/>
                </w:tcPr>
                <w:p w14:paraId="4D31339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74套磷酸铁锂储能单元、3套钠离子电池储能单元以及全钒液储能室</w:t>
                  </w:r>
                </w:p>
              </w:tc>
            </w:tr>
            <w:tr w14:paraId="4D711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7" w:type="pct"/>
                  <w:vMerge w:val="restart"/>
                  <w:noWrap w:val="0"/>
                  <w:tcMar>
                    <w:left w:w="28" w:type="dxa"/>
                    <w:right w:w="28" w:type="dxa"/>
                  </w:tcMar>
                  <w:vAlign w:val="center"/>
                </w:tcPr>
                <w:p w14:paraId="32BDB0E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配套工程</w:t>
                  </w:r>
                </w:p>
              </w:tc>
              <w:tc>
                <w:tcPr>
                  <w:tcW w:w="297" w:type="pct"/>
                  <w:vMerge w:val="restart"/>
                  <w:noWrap w:val="0"/>
                  <w:tcMar>
                    <w:left w:w="28" w:type="dxa"/>
                    <w:right w:w="28" w:type="dxa"/>
                  </w:tcMar>
                  <w:vAlign w:val="center"/>
                </w:tcPr>
                <w:p w14:paraId="12E9753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储能电站</w:t>
                  </w:r>
                </w:p>
              </w:tc>
              <w:tc>
                <w:tcPr>
                  <w:tcW w:w="431" w:type="pct"/>
                  <w:noWrap w:val="0"/>
                  <w:tcMar>
                    <w:left w:w="28" w:type="dxa"/>
                    <w:right w:w="28" w:type="dxa"/>
                  </w:tcMar>
                  <w:vAlign w:val="center"/>
                </w:tcPr>
                <w:p w14:paraId="0341579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220kV升压站区</w:t>
                  </w:r>
                </w:p>
              </w:tc>
              <w:tc>
                <w:tcPr>
                  <w:tcW w:w="738" w:type="pct"/>
                  <w:noWrap w:val="0"/>
                  <w:tcMar>
                    <w:left w:w="28" w:type="dxa"/>
                    <w:right w:w="28" w:type="dxa"/>
                  </w:tcMar>
                  <w:vAlign w:val="center"/>
                </w:tcPr>
                <w:p w14:paraId="21DDA9E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办公生活区</w:t>
                  </w:r>
                </w:p>
              </w:tc>
              <w:tc>
                <w:tcPr>
                  <w:tcW w:w="3205" w:type="pct"/>
                  <w:noWrap w:val="0"/>
                  <w:tcMar>
                    <w:left w:w="28" w:type="dxa"/>
                    <w:right w:w="28" w:type="dxa"/>
                  </w:tcMar>
                  <w:vAlign w:val="center"/>
                </w:tcPr>
                <w:p w14:paraId="7C726FC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建设有综合楼（建筑面积1318.2m</w:t>
                  </w:r>
                  <w:r>
                    <w:rPr>
                      <w:rFonts w:hint="eastAsia"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lang w:val="en-US" w:eastAsia="zh-CN"/>
                    </w:rPr>
                    <w:t>）、事故油池、附属用房（建筑面积223.2m</w:t>
                  </w:r>
                  <w:r>
                    <w:rPr>
                      <w:rFonts w:hint="eastAsia"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lang w:val="en-US" w:eastAsia="zh-CN"/>
                    </w:rPr>
                    <w:t>）、油品库及危废品暂存间（建筑面积48.6m</w:t>
                  </w:r>
                  <w:r>
                    <w:rPr>
                      <w:rFonts w:hint="eastAsia"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lang w:val="en-US" w:eastAsia="zh-CN"/>
                    </w:rPr>
                    <w:t>）、汽车库等</w:t>
                  </w:r>
                </w:p>
              </w:tc>
            </w:tr>
            <w:tr w14:paraId="58D14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7" w:type="pct"/>
                  <w:vMerge w:val="continue"/>
                  <w:noWrap w:val="0"/>
                  <w:tcMar>
                    <w:left w:w="28" w:type="dxa"/>
                    <w:right w:w="28" w:type="dxa"/>
                  </w:tcMar>
                  <w:vAlign w:val="center"/>
                </w:tcPr>
                <w:p w14:paraId="6483DC7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297" w:type="pct"/>
                  <w:vMerge w:val="continue"/>
                  <w:noWrap w:val="0"/>
                  <w:tcMar>
                    <w:left w:w="28" w:type="dxa"/>
                    <w:right w:w="28" w:type="dxa"/>
                  </w:tcMar>
                  <w:vAlign w:val="center"/>
                </w:tcPr>
                <w:p w14:paraId="18330FA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431" w:type="pct"/>
                  <w:noWrap w:val="0"/>
                  <w:tcMar>
                    <w:left w:w="28" w:type="dxa"/>
                    <w:right w:w="28" w:type="dxa"/>
                  </w:tcMar>
                  <w:vAlign w:val="center"/>
                </w:tcPr>
                <w:p w14:paraId="48D8EB3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进站道路</w:t>
                  </w:r>
                </w:p>
              </w:tc>
              <w:tc>
                <w:tcPr>
                  <w:tcW w:w="738" w:type="pct"/>
                  <w:noWrap w:val="0"/>
                  <w:tcMar>
                    <w:left w:w="28" w:type="dxa"/>
                    <w:right w:w="28" w:type="dxa"/>
                  </w:tcMar>
                  <w:vAlign w:val="center"/>
                </w:tcPr>
                <w:p w14:paraId="7458C54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3205" w:type="pct"/>
                  <w:noWrap w:val="0"/>
                  <w:tcMar>
                    <w:left w:w="28" w:type="dxa"/>
                    <w:right w:w="28" w:type="dxa"/>
                  </w:tcMar>
                  <w:vAlign w:val="center"/>
                </w:tcPr>
                <w:p w14:paraId="618D690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新建200m进站道路，混凝土路面，路面宽4.5m，路基宽5.5m，从项目区东侧引入</w:t>
                  </w:r>
                </w:p>
              </w:tc>
            </w:tr>
            <w:tr w14:paraId="57244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7" w:type="pct"/>
                  <w:vMerge w:val="continue"/>
                  <w:noWrap w:val="0"/>
                  <w:tcMar>
                    <w:left w:w="28" w:type="dxa"/>
                    <w:right w:w="28" w:type="dxa"/>
                  </w:tcMar>
                  <w:vAlign w:val="center"/>
                </w:tcPr>
                <w:p w14:paraId="1C1EA8D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297" w:type="pct"/>
                  <w:vMerge w:val="continue"/>
                  <w:noWrap w:val="0"/>
                  <w:tcMar>
                    <w:left w:w="28" w:type="dxa"/>
                    <w:right w:w="28" w:type="dxa"/>
                  </w:tcMar>
                  <w:vAlign w:val="center"/>
                </w:tcPr>
                <w:p w14:paraId="717A597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431" w:type="pct"/>
                  <w:noWrap w:val="0"/>
                  <w:tcMar>
                    <w:left w:w="28" w:type="dxa"/>
                    <w:right w:w="28" w:type="dxa"/>
                  </w:tcMar>
                  <w:vAlign w:val="center"/>
                </w:tcPr>
                <w:p w14:paraId="6A58D43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站内道路</w:t>
                  </w:r>
                </w:p>
              </w:tc>
              <w:tc>
                <w:tcPr>
                  <w:tcW w:w="738" w:type="pct"/>
                  <w:noWrap w:val="0"/>
                  <w:tcMar>
                    <w:left w:w="28" w:type="dxa"/>
                    <w:right w:w="28" w:type="dxa"/>
                  </w:tcMar>
                  <w:vAlign w:val="center"/>
                </w:tcPr>
                <w:p w14:paraId="5AD2E28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3205" w:type="pct"/>
                  <w:noWrap w:val="0"/>
                  <w:tcMar>
                    <w:left w:w="28" w:type="dxa"/>
                    <w:right w:w="28" w:type="dxa"/>
                  </w:tcMar>
                  <w:vAlign w:val="center"/>
                </w:tcPr>
                <w:p w14:paraId="0FDC923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新建4675m站内道路，混凝土路面，路面宽4.5m，路基宽5.5m</w:t>
                  </w:r>
                </w:p>
              </w:tc>
            </w:tr>
            <w:tr w14:paraId="07AD3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7" w:type="pct"/>
                  <w:vMerge w:val="continue"/>
                  <w:noWrap w:val="0"/>
                  <w:tcMar>
                    <w:left w:w="28" w:type="dxa"/>
                    <w:right w:w="28" w:type="dxa"/>
                  </w:tcMar>
                  <w:vAlign w:val="center"/>
                </w:tcPr>
                <w:p w14:paraId="11FA42F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297" w:type="pct"/>
                  <w:vMerge w:val="continue"/>
                  <w:noWrap w:val="0"/>
                  <w:tcMar>
                    <w:left w:w="28" w:type="dxa"/>
                    <w:right w:w="28" w:type="dxa"/>
                  </w:tcMar>
                  <w:vAlign w:val="center"/>
                </w:tcPr>
                <w:p w14:paraId="78FD8A8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431" w:type="pct"/>
                  <w:noWrap w:val="0"/>
                  <w:tcMar>
                    <w:left w:w="28" w:type="dxa"/>
                    <w:right w:w="28" w:type="dxa"/>
                  </w:tcMar>
                  <w:vAlign w:val="center"/>
                </w:tcPr>
                <w:p w14:paraId="100945C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围墙</w:t>
                  </w:r>
                </w:p>
              </w:tc>
              <w:tc>
                <w:tcPr>
                  <w:tcW w:w="738" w:type="pct"/>
                  <w:noWrap w:val="0"/>
                  <w:tcMar>
                    <w:left w:w="28" w:type="dxa"/>
                    <w:right w:w="28" w:type="dxa"/>
                  </w:tcMar>
                  <w:vAlign w:val="center"/>
                </w:tcPr>
                <w:p w14:paraId="185338A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3205" w:type="pct"/>
                  <w:noWrap w:val="0"/>
                  <w:tcMar>
                    <w:left w:w="28" w:type="dxa"/>
                    <w:right w:w="28" w:type="dxa"/>
                  </w:tcMar>
                  <w:vAlign w:val="center"/>
                </w:tcPr>
                <w:p w14:paraId="27F9024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采用2.5m环保砖实体围墙，长1410m</w:t>
                  </w:r>
                </w:p>
              </w:tc>
            </w:tr>
            <w:tr w14:paraId="7CED8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7" w:type="pct"/>
                  <w:vMerge w:val="continue"/>
                  <w:noWrap w:val="0"/>
                  <w:tcMar>
                    <w:left w:w="28" w:type="dxa"/>
                    <w:right w:w="28" w:type="dxa"/>
                  </w:tcMar>
                  <w:vAlign w:val="center"/>
                </w:tcPr>
                <w:p w14:paraId="2017C5B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297" w:type="pct"/>
                  <w:vMerge w:val="continue"/>
                  <w:noWrap w:val="0"/>
                  <w:tcMar>
                    <w:left w:w="28" w:type="dxa"/>
                    <w:right w:w="28" w:type="dxa"/>
                  </w:tcMar>
                  <w:vAlign w:val="center"/>
                </w:tcPr>
                <w:p w14:paraId="71CEE61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431" w:type="pct"/>
                  <w:noWrap w:val="0"/>
                  <w:tcMar>
                    <w:left w:w="28" w:type="dxa"/>
                    <w:right w:w="28" w:type="dxa"/>
                  </w:tcMar>
                  <w:vAlign w:val="center"/>
                </w:tcPr>
                <w:p w14:paraId="67C9270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大门</w:t>
                  </w:r>
                </w:p>
              </w:tc>
              <w:tc>
                <w:tcPr>
                  <w:tcW w:w="738" w:type="pct"/>
                  <w:noWrap w:val="0"/>
                  <w:tcMar>
                    <w:left w:w="28" w:type="dxa"/>
                    <w:right w:w="28" w:type="dxa"/>
                  </w:tcMar>
                  <w:vAlign w:val="center"/>
                </w:tcPr>
                <w:p w14:paraId="13AB99D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3205" w:type="pct"/>
                  <w:noWrap w:val="0"/>
                  <w:tcMar>
                    <w:left w:w="28" w:type="dxa"/>
                    <w:right w:w="28" w:type="dxa"/>
                  </w:tcMar>
                  <w:vAlign w:val="center"/>
                </w:tcPr>
                <w:p w14:paraId="66552E2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设置一座电动伸缩大门，站内设置4座隔离围栏大门</w:t>
                  </w:r>
                </w:p>
              </w:tc>
            </w:tr>
            <w:tr w14:paraId="6C4C5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7" w:type="pct"/>
                  <w:vMerge w:val="restart"/>
                  <w:noWrap w:val="0"/>
                  <w:tcMar>
                    <w:left w:w="28" w:type="dxa"/>
                    <w:right w:w="28" w:type="dxa"/>
                  </w:tcMar>
                  <w:vAlign w:val="center"/>
                </w:tcPr>
                <w:p w14:paraId="5D1F01E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临时</w:t>
                  </w:r>
                </w:p>
                <w:p w14:paraId="7FBA806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工程</w:t>
                  </w:r>
                </w:p>
              </w:tc>
              <w:tc>
                <w:tcPr>
                  <w:tcW w:w="729" w:type="pct"/>
                  <w:gridSpan w:val="2"/>
                  <w:vMerge w:val="restart"/>
                  <w:noWrap w:val="0"/>
                  <w:tcMar>
                    <w:left w:w="28" w:type="dxa"/>
                    <w:right w:w="28" w:type="dxa"/>
                  </w:tcMar>
                  <w:vAlign w:val="center"/>
                </w:tcPr>
                <w:p w14:paraId="1AC46F5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储能电站</w:t>
                  </w:r>
                </w:p>
                <w:p w14:paraId="0EED0F9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临时工程</w:t>
                  </w:r>
                </w:p>
              </w:tc>
              <w:tc>
                <w:tcPr>
                  <w:tcW w:w="738" w:type="pct"/>
                  <w:noWrap w:val="0"/>
                  <w:tcMar>
                    <w:left w:w="28" w:type="dxa"/>
                    <w:right w:w="28" w:type="dxa"/>
                  </w:tcMar>
                  <w:vAlign w:val="center"/>
                </w:tcPr>
                <w:p w14:paraId="21FECE2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vertAlign w:val="baseline"/>
                      <w:lang w:val="en-US" w:eastAsia="zh-CN"/>
                    </w:rPr>
                    <w:t>施工</w:t>
                  </w:r>
                  <w:r>
                    <w:rPr>
                      <w:rFonts w:hint="eastAsia" w:ascii="Times New Roman" w:hAnsi="Times New Roman" w:eastAsia="宋体" w:cs="Times New Roman"/>
                      <w:bCs/>
                      <w:color w:val="auto"/>
                      <w:sz w:val="21"/>
                      <w:szCs w:val="21"/>
                      <w:highlight w:val="none"/>
                      <w:vertAlign w:val="baseline"/>
                      <w:lang w:val="en-US" w:eastAsia="zh-CN"/>
                    </w:rPr>
                    <w:t>管理及生活区</w:t>
                  </w:r>
                </w:p>
              </w:tc>
              <w:tc>
                <w:tcPr>
                  <w:tcW w:w="3205" w:type="pct"/>
                  <w:noWrap w:val="0"/>
                  <w:tcMar>
                    <w:left w:w="28" w:type="dxa"/>
                    <w:right w:w="28" w:type="dxa"/>
                  </w:tcMar>
                  <w:vAlign w:val="center"/>
                </w:tcPr>
                <w:p w14:paraId="211EA5EE">
                  <w:pPr>
                    <w:keepNext w:val="0"/>
                    <w:keepLines w:val="0"/>
                    <w:widowControl/>
                    <w:suppressLineNumbers w:val="0"/>
                    <w:spacing w:line="240" w:lineRule="auto"/>
                    <w:jc w:val="both"/>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vertAlign w:val="baseline"/>
                      <w:lang w:val="en-US" w:eastAsia="zh-CN" w:bidi="ar-SA"/>
                    </w:rPr>
                    <w:t>布置在储能电站内，临时办公生活区占地面积6000</w:t>
                  </w:r>
                  <w:r>
                    <w:rPr>
                      <w:rFonts w:hint="default" w:ascii="Times New Roman" w:hAnsi="Times New Roman" w:eastAsia="宋体" w:cs="Times New Roman"/>
                      <w:color w:val="auto"/>
                      <w:kern w:val="0"/>
                      <w:sz w:val="21"/>
                      <w:szCs w:val="21"/>
                      <w:highlight w:val="none"/>
                      <w:lang w:val="en-US" w:eastAsia="zh-CN" w:bidi="ar"/>
                    </w:rPr>
                    <w:t>m</w:t>
                  </w:r>
                  <w:r>
                    <w:rPr>
                      <w:rFonts w:hint="default" w:ascii="Times New Roman" w:hAnsi="Times New Roman" w:eastAsia="宋体" w:cs="Times New Roman"/>
                      <w:color w:val="auto"/>
                      <w:kern w:val="0"/>
                      <w:sz w:val="21"/>
                      <w:szCs w:val="21"/>
                      <w:highlight w:val="none"/>
                      <w:vertAlign w:val="superscript"/>
                      <w:lang w:val="en-US" w:eastAsia="zh-CN" w:bidi="ar"/>
                    </w:rPr>
                    <w:t>2</w:t>
                  </w:r>
                </w:p>
              </w:tc>
            </w:tr>
            <w:tr w14:paraId="0E7C5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7" w:type="pct"/>
                  <w:vMerge w:val="continue"/>
                  <w:noWrap w:val="0"/>
                  <w:tcMar>
                    <w:left w:w="28" w:type="dxa"/>
                    <w:right w:w="28" w:type="dxa"/>
                  </w:tcMar>
                  <w:vAlign w:val="center"/>
                </w:tcPr>
                <w:p w14:paraId="0C88CAA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729" w:type="pct"/>
                  <w:gridSpan w:val="2"/>
                  <w:vMerge w:val="continue"/>
                  <w:noWrap w:val="0"/>
                  <w:tcMar>
                    <w:left w:w="28" w:type="dxa"/>
                    <w:right w:w="28" w:type="dxa"/>
                  </w:tcMar>
                  <w:vAlign w:val="center"/>
                </w:tcPr>
                <w:p w14:paraId="0505729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738" w:type="pct"/>
                  <w:noWrap w:val="0"/>
                  <w:tcMar>
                    <w:left w:w="28" w:type="dxa"/>
                    <w:right w:w="28" w:type="dxa"/>
                  </w:tcMar>
                  <w:vAlign w:val="center"/>
                </w:tcPr>
                <w:p w14:paraId="30C89B2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bCs/>
                      <w:color w:val="auto"/>
                      <w:sz w:val="21"/>
                      <w:szCs w:val="21"/>
                      <w:highlight w:val="none"/>
                      <w:vertAlign w:val="baseline"/>
                      <w:lang w:val="en-US" w:eastAsia="zh-CN"/>
                    </w:rPr>
                    <w:t>综合加工厂</w:t>
                  </w:r>
                </w:p>
              </w:tc>
              <w:tc>
                <w:tcPr>
                  <w:tcW w:w="3205" w:type="pct"/>
                  <w:noWrap w:val="0"/>
                  <w:tcMar>
                    <w:left w:w="28" w:type="dxa"/>
                    <w:right w:w="28" w:type="dxa"/>
                  </w:tcMar>
                  <w:vAlign w:val="center"/>
                </w:tcPr>
                <w:p w14:paraId="6E37F32B">
                  <w:pPr>
                    <w:keepNext w:val="0"/>
                    <w:keepLines w:val="0"/>
                    <w:widowControl/>
                    <w:suppressLineNumbers w:val="0"/>
                    <w:spacing w:line="240" w:lineRule="auto"/>
                    <w:jc w:val="both"/>
                    <w:rPr>
                      <w:rFonts w:hint="default" w:ascii="Times New Roman" w:hAnsi="Times New Roman" w:cs="Times New Roman"/>
                      <w:color w:val="0000FF"/>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主要为</w:t>
                  </w:r>
                  <w:r>
                    <w:rPr>
                      <w:rFonts w:hint="default" w:ascii="Times New Roman" w:hAnsi="Times New Roman" w:eastAsia="宋体" w:cs="Times New Roman"/>
                      <w:color w:val="auto"/>
                      <w:sz w:val="21"/>
                      <w:szCs w:val="21"/>
                      <w:highlight w:val="none"/>
                      <w:lang w:val="en-US" w:eastAsia="zh-CN"/>
                    </w:rPr>
                    <w:t>钢结构构件剪切、调直、弯曲、焊接等加工</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bCs/>
                      <w:color w:val="auto"/>
                      <w:kern w:val="2"/>
                      <w:sz w:val="21"/>
                      <w:szCs w:val="21"/>
                      <w:highlight w:val="none"/>
                      <w:vertAlign w:val="baseline"/>
                      <w:lang w:val="en-US" w:eastAsia="zh-CN" w:bidi="ar-SA"/>
                    </w:rPr>
                    <w:t>占地面积3000</w:t>
                  </w:r>
                  <w:r>
                    <w:rPr>
                      <w:rFonts w:hint="default" w:ascii="Times New Roman" w:hAnsi="Times New Roman" w:eastAsia="宋体" w:cs="Times New Roman"/>
                      <w:color w:val="auto"/>
                      <w:kern w:val="0"/>
                      <w:sz w:val="21"/>
                      <w:szCs w:val="21"/>
                      <w:highlight w:val="none"/>
                      <w:lang w:val="en-US" w:eastAsia="zh-CN" w:bidi="ar"/>
                    </w:rPr>
                    <w:t>m</w:t>
                  </w:r>
                  <w:r>
                    <w:rPr>
                      <w:rFonts w:hint="default" w:ascii="Times New Roman" w:hAnsi="Times New Roman" w:eastAsia="宋体" w:cs="Times New Roman"/>
                      <w:color w:val="auto"/>
                      <w:kern w:val="0"/>
                      <w:sz w:val="21"/>
                      <w:szCs w:val="21"/>
                      <w:highlight w:val="none"/>
                      <w:vertAlign w:val="superscript"/>
                      <w:lang w:val="en-US" w:eastAsia="zh-CN" w:bidi="ar"/>
                    </w:rPr>
                    <w:t>2</w:t>
                  </w:r>
                </w:p>
              </w:tc>
            </w:tr>
            <w:tr w14:paraId="1E1AF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7" w:type="pct"/>
                  <w:vMerge w:val="continue"/>
                  <w:noWrap w:val="0"/>
                  <w:tcMar>
                    <w:left w:w="28" w:type="dxa"/>
                    <w:right w:w="28" w:type="dxa"/>
                  </w:tcMar>
                  <w:vAlign w:val="center"/>
                </w:tcPr>
                <w:p w14:paraId="1B6CBA1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729" w:type="pct"/>
                  <w:gridSpan w:val="2"/>
                  <w:vMerge w:val="continue"/>
                  <w:noWrap w:val="0"/>
                  <w:tcMar>
                    <w:left w:w="28" w:type="dxa"/>
                    <w:right w:w="28" w:type="dxa"/>
                  </w:tcMar>
                  <w:vAlign w:val="center"/>
                </w:tcPr>
                <w:p w14:paraId="564EB52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738" w:type="pct"/>
                  <w:noWrap w:val="0"/>
                  <w:tcMar>
                    <w:left w:w="28" w:type="dxa"/>
                    <w:right w:w="28" w:type="dxa"/>
                  </w:tcMar>
                  <w:vAlign w:val="center"/>
                </w:tcPr>
                <w:p w14:paraId="692BF68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bCs/>
                      <w:color w:val="auto"/>
                      <w:sz w:val="21"/>
                      <w:szCs w:val="21"/>
                      <w:highlight w:val="none"/>
                      <w:vertAlign w:val="baseline"/>
                      <w:lang w:val="en-US" w:eastAsia="zh-CN"/>
                    </w:rPr>
                    <w:t>综合仓库</w:t>
                  </w:r>
                </w:p>
              </w:tc>
              <w:tc>
                <w:tcPr>
                  <w:tcW w:w="3205" w:type="pct"/>
                  <w:noWrap w:val="0"/>
                  <w:tcMar>
                    <w:left w:w="28" w:type="dxa"/>
                    <w:right w:w="28" w:type="dxa"/>
                  </w:tcMar>
                  <w:vAlign w:val="center"/>
                </w:tcPr>
                <w:p w14:paraId="2B93959F">
                  <w:pPr>
                    <w:keepNext w:val="0"/>
                    <w:keepLines w:val="0"/>
                    <w:widowControl/>
                    <w:suppressLineNumbers w:val="0"/>
                    <w:spacing w:line="240" w:lineRule="auto"/>
                    <w:jc w:val="both"/>
                    <w:rPr>
                      <w:rFonts w:hint="default" w:ascii="Times New Roman" w:hAnsi="Times New Roman" w:cs="Times New Roman"/>
                      <w:color w:val="0000FF"/>
                      <w:kern w:val="2"/>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
                    </w:rPr>
                    <w:t>主要用于</w:t>
                  </w:r>
                  <w:r>
                    <w:rPr>
                      <w:rFonts w:hint="default" w:ascii="Times New Roman" w:hAnsi="Times New Roman" w:eastAsia="宋体" w:cs="Times New Roman"/>
                      <w:color w:val="auto"/>
                      <w:kern w:val="0"/>
                      <w:sz w:val="21"/>
                      <w:szCs w:val="21"/>
                      <w:highlight w:val="none"/>
                      <w:lang w:val="en-US" w:eastAsia="zh-CN" w:bidi="ar"/>
                    </w:rPr>
                    <w:t>物料</w:t>
                  </w:r>
                  <w:r>
                    <w:rPr>
                      <w:rFonts w:hint="eastAsia" w:ascii="Times New Roman" w:hAnsi="Times New Roman" w:eastAsia="宋体" w:cs="Times New Roman"/>
                      <w:color w:val="auto"/>
                      <w:kern w:val="0"/>
                      <w:sz w:val="21"/>
                      <w:szCs w:val="21"/>
                      <w:highlight w:val="none"/>
                      <w:lang w:val="en-US" w:eastAsia="zh-CN" w:bidi="ar"/>
                    </w:rPr>
                    <w:t>、生活用品</w:t>
                  </w:r>
                  <w:r>
                    <w:rPr>
                      <w:rFonts w:hint="default" w:ascii="Times New Roman" w:hAnsi="Times New Roman" w:eastAsia="宋体" w:cs="Times New Roman"/>
                      <w:color w:val="auto"/>
                      <w:kern w:val="0"/>
                      <w:sz w:val="21"/>
                      <w:szCs w:val="21"/>
                      <w:highlight w:val="none"/>
                      <w:lang w:val="en-US" w:eastAsia="zh-CN" w:bidi="ar"/>
                    </w:rPr>
                    <w:t>堆放</w:t>
                  </w:r>
                  <w:r>
                    <w:rPr>
                      <w:rFonts w:hint="eastAsia" w:ascii="Times New Roman" w:hAnsi="Times New Roman" w:eastAsia="宋体" w:cs="Times New Roman"/>
                      <w:color w:val="auto"/>
                      <w:kern w:val="0"/>
                      <w:sz w:val="21"/>
                      <w:szCs w:val="21"/>
                      <w:highlight w:val="none"/>
                      <w:lang w:val="en-US" w:eastAsia="zh-CN" w:bidi="ar"/>
                    </w:rPr>
                    <w:t>，占地面积</w:t>
                  </w:r>
                  <w:r>
                    <w:rPr>
                      <w:rFonts w:hint="eastAsia" w:ascii="Times New Roman" w:hAnsi="Times New Roman" w:eastAsia="宋体" w:cs="Times New Roman"/>
                      <w:bCs/>
                      <w:color w:val="auto"/>
                      <w:kern w:val="2"/>
                      <w:sz w:val="21"/>
                      <w:szCs w:val="21"/>
                      <w:highlight w:val="none"/>
                      <w:vertAlign w:val="baseline"/>
                      <w:lang w:val="en-US" w:eastAsia="zh-CN" w:bidi="ar-SA"/>
                    </w:rPr>
                    <w:t>3600</w:t>
                  </w:r>
                  <w:r>
                    <w:rPr>
                      <w:rFonts w:hint="default" w:ascii="Times New Roman" w:hAnsi="Times New Roman" w:eastAsia="宋体" w:cs="Times New Roman"/>
                      <w:color w:val="auto"/>
                      <w:kern w:val="0"/>
                      <w:sz w:val="21"/>
                      <w:szCs w:val="21"/>
                      <w:highlight w:val="none"/>
                      <w:lang w:val="en-US" w:eastAsia="zh-CN" w:bidi="ar"/>
                    </w:rPr>
                    <w:t>m</w:t>
                  </w:r>
                  <w:r>
                    <w:rPr>
                      <w:rFonts w:hint="default" w:ascii="Times New Roman" w:hAnsi="Times New Roman" w:eastAsia="宋体" w:cs="Times New Roman"/>
                      <w:color w:val="auto"/>
                      <w:kern w:val="0"/>
                      <w:sz w:val="21"/>
                      <w:szCs w:val="21"/>
                      <w:highlight w:val="none"/>
                      <w:vertAlign w:val="superscript"/>
                      <w:lang w:val="en-US" w:eastAsia="zh-CN" w:bidi="ar"/>
                    </w:rPr>
                    <w:t>2</w:t>
                  </w:r>
                </w:p>
              </w:tc>
            </w:tr>
            <w:tr w14:paraId="62002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7" w:type="pct"/>
                  <w:vMerge w:val="continue"/>
                  <w:noWrap w:val="0"/>
                  <w:tcMar>
                    <w:left w:w="28" w:type="dxa"/>
                    <w:right w:w="28" w:type="dxa"/>
                  </w:tcMar>
                  <w:vAlign w:val="center"/>
                </w:tcPr>
                <w:p w14:paraId="354CDCC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729" w:type="pct"/>
                  <w:gridSpan w:val="2"/>
                  <w:vMerge w:val="continue"/>
                  <w:noWrap w:val="0"/>
                  <w:tcMar>
                    <w:left w:w="28" w:type="dxa"/>
                    <w:right w:w="28" w:type="dxa"/>
                  </w:tcMar>
                  <w:vAlign w:val="center"/>
                </w:tcPr>
                <w:p w14:paraId="5433069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738" w:type="pct"/>
                  <w:noWrap w:val="0"/>
                  <w:tcMar>
                    <w:left w:w="28" w:type="dxa"/>
                    <w:right w:w="28" w:type="dxa"/>
                  </w:tcMar>
                  <w:vAlign w:val="center"/>
                </w:tcPr>
                <w:p w14:paraId="152304D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FF"/>
                      <w:sz w:val="21"/>
                      <w:szCs w:val="21"/>
                      <w:highlight w:val="none"/>
                      <w:lang w:val="en-US" w:eastAsia="zh-CN"/>
                    </w:rPr>
                  </w:pPr>
                  <w:r>
                    <w:rPr>
                      <w:rFonts w:hint="eastAsia" w:ascii="Times New Roman" w:hAnsi="Times New Roman" w:eastAsia="宋体" w:cs="Times New Roman"/>
                      <w:bCs/>
                      <w:color w:val="auto"/>
                      <w:sz w:val="21"/>
                      <w:szCs w:val="21"/>
                      <w:highlight w:val="none"/>
                      <w:vertAlign w:val="baseline"/>
                      <w:lang w:val="en-US" w:eastAsia="zh-CN"/>
                    </w:rPr>
                    <w:t>机械停放场</w:t>
                  </w:r>
                </w:p>
              </w:tc>
              <w:tc>
                <w:tcPr>
                  <w:tcW w:w="3205" w:type="pct"/>
                  <w:noWrap w:val="0"/>
                  <w:tcMar>
                    <w:left w:w="28" w:type="dxa"/>
                    <w:right w:w="28" w:type="dxa"/>
                  </w:tcMar>
                  <w:vAlign w:val="center"/>
                </w:tcPr>
                <w:p w14:paraId="7C64A3CC">
                  <w:pPr>
                    <w:keepNext w:val="0"/>
                    <w:keepLines w:val="0"/>
                    <w:widowControl/>
                    <w:suppressLineNumbers w:val="0"/>
                    <w:spacing w:line="240" w:lineRule="auto"/>
                    <w:jc w:val="both"/>
                    <w:rPr>
                      <w:rFonts w:hint="default" w:ascii="Times New Roman" w:hAnsi="Times New Roman" w:cs="Times New Roman"/>
                      <w:color w:val="0000FF"/>
                      <w:kern w:val="2"/>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
                    </w:rPr>
                    <w:t>施工机械、运输车辆停放，占地面积27</w:t>
                  </w:r>
                  <w:r>
                    <w:rPr>
                      <w:rFonts w:hint="eastAsia" w:ascii="Times New Roman" w:hAnsi="Times New Roman" w:eastAsia="宋体" w:cs="Times New Roman"/>
                      <w:bCs/>
                      <w:color w:val="auto"/>
                      <w:kern w:val="2"/>
                      <w:sz w:val="21"/>
                      <w:szCs w:val="21"/>
                      <w:highlight w:val="none"/>
                      <w:vertAlign w:val="baseline"/>
                      <w:lang w:val="en-US" w:eastAsia="zh-CN" w:bidi="ar-SA"/>
                    </w:rPr>
                    <w:t>00</w:t>
                  </w:r>
                  <w:r>
                    <w:rPr>
                      <w:rFonts w:hint="default" w:ascii="Times New Roman" w:hAnsi="Times New Roman" w:eastAsia="宋体" w:cs="Times New Roman"/>
                      <w:color w:val="auto"/>
                      <w:kern w:val="0"/>
                      <w:sz w:val="21"/>
                      <w:szCs w:val="21"/>
                      <w:highlight w:val="none"/>
                      <w:lang w:val="en-US" w:eastAsia="zh-CN" w:bidi="ar"/>
                    </w:rPr>
                    <w:t>m</w:t>
                  </w:r>
                  <w:r>
                    <w:rPr>
                      <w:rFonts w:hint="default" w:ascii="Times New Roman" w:hAnsi="Times New Roman" w:eastAsia="宋体" w:cs="Times New Roman"/>
                      <w:color w:val="auto"/>
                      <w:kern w:val="0"/>
                      <w:sz w:val="21"/>
                      <w:szCs w:val="21"/>
                      <w:highlight w:val="none"/>
                      <w:vertAlign w:val="superscript"/>
                      <w:lang w:val="en-US" w:eastAsia="zh-CN" w:bidi="ar"/>
                    </w:rPr>
                    <w:t>2</w:t>
                  </w:r>
                </w:p>
              </w:tc>
            </w:tr>
            <w:tr w14:paraId="7A37A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7" w:type="pct"/>
                  <w:vMerge w:val="continue"/>
                  <w:noWrap w:val="0"/>
                  <w:tcMar>
                    <w:left w:w="28" w:type="dxa"/>
                    <w:right w:w="28" w:type="dxa"/>
                  </w:tcMar>
                  <w:vAlign w:val="center"/>
                </w:tcPr>
                <w:p w14:paraId="7817AAA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729" w:type="pct"/>
                  <w:gridSpan w:val="2"/>
                  <w:vMerge w:val="continue"/>
                  <w:noWrap w:val="0"/>
                  <w:tcMar>
                    <w:left w:w="28" w:type="dxa"/>
                    <w:right w:w="28" w:type="dxa"/>
                  </w:tcMar>
                  <w:vAlign w:val="center"/>
                </w:tcPr>
                <w:p w14:paraId="30187C1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738" w:type="pct"/>
                  <w:noWrap w:val="0"/>
                  <w:tcMar>
                    <w:left w:w="28" w:type="dxa"/>
                    <w:right w:w="28" w:type="dxa"/>
                  </w:tcMar>
                  <w:vAlign w:val="center"/>
                </w:tcPr>
                <w:p w14:paraId="3CAE9CB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FF"/>
                      <w:sz w:val="21"/>
                      <w:szCs w:val="21"/>
                      <w:highlight w:val="none"/>
                      <w:lang w:val="en-US" w:eastAsia="zh-CN"/>
                    </w:rPr>
                  </w:pPr>
                  <w:r>
                    <w:rPr>
                      <w:rFonts w:hint="eastAsia" w:ascii="Times New Roman" w:hAnsi="Times New Roman" w:eastAsia="宋体" w:cs="Times New Roman"/>
                      <w:bCs/>
                      <w:color w:val="auto"/>
                      <w:sz w:val="21"/>
                      <w:szCs w:val="21"/>
                      <w:highlight w:val="none"/>
                      <w:vertAlign w:val="baseline"/>
                      <w:lang w:val="en-US" w:eastAsia="zh-CN"/>
                    </w:rPr>
                    <w:t>堆场保卫室</w:t>
                  </w:r>
                </w:p>
              </w:tc>
              <w:tc>
                <w:tcPr>
                  <w:tcW w:w="3205" w:type="pct"/>
                  <w:noWrap w:val="0"/>
                  <w:tcMar>
                    <w:left w:w="28" w:type="dxa"/>
                    <w:right w:w="28" w:type="dxa"/>
                  </w:tcMar>
                  <w:vAlign w:val="center"/>
                </w:tcPr>
                <w:p w14:paraId="3609B98B">
                  <w:pPr>
                    <w:keepNext w:val="0"/>
                    <w:keepLines w:val="0"/>
                    <w:widowControl/>
                    <w:suppressLineNumbers w:val="0"/>
                    <w:spacing w:line="240" w:lineRule="auto"/>
                    <w:jc w:val="both"/>
                    <w:rPr>
                      <w:rFonts w:hint="default" w:ascii="Times New Roman" w:hAnsi="Times New Roman" w:cs="Times New Roman"/>
                      <w:color w:val="0000FF"/>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vertAlign w:val="baseline"/>
                      <w:lang w:val="en-US" w:eastAsia="zh-CN" w:bidi="ar-SA"/>
                    </w:rPr>
                    <w:t>建筑面积300</w:t>
                  </w:r>
                  <w:r>
                    <w:rPr>
                      <w:rFonts w:hint="default" w:ascii="Times New Roman" w:hAnsi="Times New Roman" w:eastAsia="宋体" w:cs="Times New Roman"/>
                      <w:color w:val="auto"/>
                      <w:kern w:val="0"/>
                      <w:sz w:val="21"/>
                      <w:szCs w:val="21"/>
                      <w:highlight w:val="none"/>
                      <w:lang w:val="en-US" w:eastAsia="zh-CN" w:bidi="ar"/>
                    </w:rPr>
                    <w:t>m</w:t>
                  </w:r>
                  <w:r>
                    <w:rPr>
                      <w:rFonts w:hint="default" w:ascii="Times New Roman" w:hAnsi="Times New Roman" w:eastAsia="宋体" w:cs="Times New Roman"/>
                      <w:color w:val="auto"/>
                      <w:kern w:val="0"/>
                      <w:sz w:val="21"/>
                      <w:szCs w:val="21"/>
                      <w:highlight w:val="none"/>
                      <w:vertAlign w:val="superscript"/>
                      <w:lang w:val="en-US" w:eastAsia="zh-CN" w:bidi="ar"/>
                    </w:rPr>
                    <w:t>2</w:t>
                  </w:r>
                </w:p>
              </w:tc>
            </w:tr>
            <w:tr w14:paraId="22A43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7" w:type="pct"/>
                  <w:vMerge w:val="restart"/>
                  <w:noWrap w:val="0"/>
                  <w:tcMar>
                    <w:left w:w="28" w:type="dxa"/>
                    <w:right w:w="28" w:type="dxa"/>
                  </w:tcMar>
                  <w:vAlign w:val="center"/>
                </w:tcPr>
                <w:p w14:paraId="31DE764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公用工程</w:t>
                  </w:r>
                </w:p>
              </w:tc>
              <w:tc>
                <w:tcPr>
                  <w:tcW w:w="1467" w:type="pct"/>
                  <w:gridSpan w:val="3"/>
                  <w:noWrap w:val="0"/>
                  <w:tcMar>
                    <w:left w:w="28" w:type="dxa"/>
                    <w:right w:w="28" w:type="dxa"/>
                  </w:tcMar>
                  <w:vAlign w:val="center"/>
                </w:tcPr>
                <w:p w14:paraId="0123233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给水</w:t>
                  </w:r>
                </w:p>
              </w:tc>
              <w:tc>
                <w:tcPr>
                  <w:tcW w:w="3205" w:type="pct"/>
                  <w:noWrap w:val="0"/>
                  <w:tcMar>
                    <w:left w:w="28" w:type="dxa"/>
                    <w:right w:w="28" w:type="dxa"/>
                  </w:tcMar>
                  <w:vAlign w:val="center"/>
                </w:tcPr>
                <w:p w14:paraId="4A7E3DB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Cs/>
                      <w:color w:val="auto"/>
                      <w:sz w:val="21"/>
                      <w:szCs w:val="21"/>
                      <w:highlight w:val="none"/>
                      <w:lang w:val="en-US" w:eastAsia="zh-CN"/>
                    </w:rPr>
                    <w:t>接园区市政管网</w:t>
                  </w:r>
                </w:p>
              </w:tc>
            </w:tr>
            <w:tr w14:paraId="10B28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7" w:type="pct"/>
                  <w:vMerge w:val="continue"/>
                  <w:noWrap w:val="0"/>
                  <w:tcMar>
                    <w:left w:w="28" w:type="dxa"/>
                    <w:right w:w="28" w:type="dxa"/>
                  </w:tcMar>
                  <w:vAlign w:val="center"/>
                </w:tcPr>
                <w:p w14:paraId="5BEDB79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1467" w:type="pct"/>
                  <w:gridSpan w:val="3"/>
                  <w:noWrap w:val="0"/>
                  <w:tcMar>
                    <w:left w:w="28" w:type="dxa"/>
                    <w:right w:w="28" w:type="dxa"/>
                  </w:tcMar>
                  <w:vAlign w:val="center"/>
                </w:tcPr>
                <w:p w14:paraId="08DCDA4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排水</w:t>
                  </w:r>
                </w:p>
              </w:tc>
              <w:tc>
                <w:tcPr>
                  <w:tcW w:w="3205" w:type="pct"/>
                  <w:noWrap w:val="0"/>
                  <w:tcMar>
                    <w:left w:w="28" w:type="dxa"/>
                    <w:right w:w="28" w:type="dxa"/>
                  </w:tcMar>
                  <w:vAlign w:val="center"/>
                </w:tcPr>
                <w:p w14:paraId="32756AF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生活污水经管网排入园区污水处理厂处理</w:t>
                  </w:r>
                </w:p>
              </w:tc>
            </w:tr>
            <w:tr w14:paraId="10FA3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7" w:type="pct"/>
                  <w:vMerge w:val="continue"/>
                  <w:noWrap w:val="0"/>
                  <w:tcMar>
                    <w:left w:w="28" w:type="dxa"/>
                    <w:right w:w="28" w:type="dxa"/>
                  </w:tcMar>
                  <w:vAlign w:val="center"/>
                </w:tcPr>
                <w:p w14:paraId="5AFFF2E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1467" w:type="pct"/>
                  <w:gridSpan w:val="3"/>
                  <w:noWrap w:val="0"/>
                  <w:tcMar>
                    <w:left w:w="28" w:type="dxa"/>
                    <w:right w:w="28" w:type="dxa"/>
                  </w:tcMar>
                  <w:vAlign w:val="center"/>
                </w:tcPr>
                <w:p w14:paraId="2986C60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用电</w:t>
                  </w:r>
                </w:p>
              </w:tc>
              <w:tc>
                <w:tcPr>
                  <w:tcW w:w="3205" w:type="pct"/>
                  <w:noWrap w:val="0"/>
                  <w:tcMar>
                    <w:left w:w="28" w:type="dxa"/>
                    <w:right w:w="28" w:type="dxa"/>
                  </w:tcMar>
                  <w:vAlign w:val="center"/>
                </w:tcPr>
                <w:p w14:paraId="6C639B4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引自站内35kV母线</w:t>
                  </w:r>
                </w:p>
              </w:tc>
            </w:tr>
            <w:tr w14:paraId="18606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7" w:type="pct"/>
                  <w:vMerge w:val="continue"/>
                  <w:noWrap w:val="0"/>
                  <w:tcMar>
                    <w:left w:w="28" w:type="dxa"/>
                    <w:right w:w="28" w:type="dxa"/>
                  </w:tcMar>
                  <w:vAlign w:val="center"/>
                </w:tcPr>
                <w:p w14:paraId="2DCBF21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1467" w:type="pct"/>
                  <w:gridSpan w:val="3"/>
                  <w:noWrap w:val="0"/>
                  <w:tcMar>
                    <w:left w:w="28" w:type="dxa"/>
                    <w:right w:w="28" w:type="dxa"/>
                  </w:tcMar>
                  <w:vAlign w:val="center"/>
                </w:tcPr>
                <w:p w14:paraId="30DA13D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采暖</w:t>
                  </w:r>
                </w:p>
              </w:tc>
              <w:tc>
                <w:tcPr>
                  <w:tcW w:w="3205" w:type="pct"/>
                  <w:noWrap w:val="0"/>
                  <w:tcMar>
                    <w:left w:w="28" w:type="dxa"/>
                    <w:right w:w="28" w:type="dxa"/>
                  </w:tcMar>
                  <w:vAlign w:val="center"/>
                </w:tcPr>
                <w:p w14:paraId="1326DC8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电采暖</w:t>
                  </w:r>
                </w:p>
              </w:tc>
            </w:tr>
            <w:tr w14:paraId="44D42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327" w:type="pct"/>
                  <w:vMerge w:val="restart"/>
                  <w:noWrap w:val="0"/>
                  <w:tcMar>
                    <w:left w:w="28" w:type="dxa"/>
                    <w:right w:w="28" w:type="dxa"/>
                  </w:tcMar>
                  <w:vAlign w:val="center"/>
                </w:tcPr>
                <w:p w14:paraId="0A8DEB0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p w14:paraId="30412E8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环保工程</w:t>
                  </w:r>
                </w:p>
              </w:tc>
              <w:tc>
                <w:tcPr>
                  <w:tcW w:w="1467" w:type="pct"/>
                  <w:gridSpan w:val="3"/>
                  <w:noWrap w:val="0"/>
                  <w:tcMar>
                    <w:left w:w="28" w:type="dxa"/>
                    <w:right w:w="28" w:type="dxa"/>
                  </w:tcMar>
                  <w:vAlign w:val="center"/>
                </w:tcPr>
                <w:p w14:paraId="14B16BD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废水</w:t>
                  </w:r>
                </w:p>
              </w:tc>
              <w:tc>
                <w:tcPr>
                  <w:tcW w:w="3205" w:type="pct"/>
                  <w:noWrap w:val="0"/>
                  <w:tcMar>
                    <w:left w:w="28" w:type="dxa"/>
                    <w:right w:w="28" w:type="dxa"/>
                  </w:tcMar>
                  <w:vAlign w:val="center"/>
                </w:tcPr>
                <w:p w14:paraId="380132C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生活污水经管网排入园区污水处理厂处理</w:t>
                  </w:r>
                </w:p>
              </w:tc>
            </w:tr>
            <w:tr w14:paraId="76AF2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7" w:type="pct"/>
                  <w:vMerge w:val="continue"/>
                  <w:noWrap w:val="0"/>
                  <w:tcMar>
                    <w:left w:w="28" w:type="dxa"/>
                    <w:right w:w="28" w:type="dxa"/>
                  </w:tcMar>
                  <w:vAlign w:val="center"/>
                </w:tcPr>
                <w:p w14:paraId="3B5A46A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467" w:type="pct"/>
                  <w:gridSpan w:val="3"/>
                  <w:noWrap w:val="0"/>
                  <w:tcMar>
                    <w:left w:w="28" w:type="dxa"/>
                    <w:right w:w="28" w:type="dxa"/>
                  </w:tcMar>
                  <w:vAlign w:val="center"/>
                </w:tcPr>
                <w:p w14:paraId="564B642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噪声</w:t>
                  </w:r>
                </w:p>
              </w:tc>
              <w:tc>
                <w:tcPr>
                  <w:tcW w:w="3205" w:type="pct"/>
                  <w:noWrap w:val="0"/>
                  <w:tcMar>
                    <w:left w:w="28" w:type="dxa"/>
                    <w:right w:w="28" w:type="dxa"/>
                  </w:tcMar>
                  <w:vAlign w:val="center"/>
                </w:tcPr>
                <w:p w14:paraId="6BE5729C">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采用低噪声设备、基础减振等措施降噪</w:t>
                  </w:r>
                </w:p>
              </w:tc>
            </w:tr>
            <w:tr w14:paraId="02321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7" w:type="pct"/>
                  <w:vMerge w:val="continue"/>
                  <w:noWrap w:val="0"/>
                  <w:tcMar>
                    <w:left w:w="28" w:type="dxa"/>
                    <w:right w:w="28" w:type="dxa"/>
                  </w:tcMar>
                  <w:vAlign w:val="center"/>
                </w:tcPr>
                <w:p w14:paraId="4C8C2A2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467" w:type="pct"/>
                  <w:gridSpan w:val="3"/>
                  <w:vMerge w:val="restart"/>
                  <w:noWrap w:val="0"/>
                  <w:tcMar>
                    <w:left w:w="28" w:type="dxa"/>
                    <w:right w:w="28" w:type="dxa"/>
                  </w:tcMar>
                  <w:vAlign w:val="center"/>
                </w:tcPr>
                <w:p w14:paraId="142D32F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固体废物</w:t>
                  </w:r>
                </w:p>
              </w:tc>
              <w:tc>
                <w:tcPr>
                  <w:tcW w:w="3205" w:type="pct"/>
                  <w:noWrap w:val="0"/>
                  <w:tcMar>
                    <w:left w:w="28" w:type="dxa"/>
                    <w:right w:w="28" w:type="dxa"/>
                  </w:tcMar>
                  <w:vAlign w:val="center"/>
                </w:tcPr>
                <w:p w14:paraId="6BB506C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w:t>
                  </w:r>
                  <w:r>
                    <w:rPr>
                      <w:rFonts w:hint="eastAsia" w:ascii="Times New Roman" w:hAnsi="Times New Roman" w:eastAsia="宋体" w:cs="Times New Roman"/>
                      <w:color w:val="auto"/>
                      <w:sz w:val="21"/>
                      <w:szCs w:val="21"/>
                      <w:highlight w:val="none"/>
                      <w:lang w:val="en-US" w:eastAsia="zh-CN"/>
                    </w:rPr>
                    <w:t>变压器油</w:t>
                  </w:r>
                  <w:r>
                    <w:rPr>
                      <w:rFonts w:hint="default" w:ascii="Times New Roman" w:hAnsi="Times New Roman" w:eastAsia="宋体" w:cs="Times New Roman"/>
                      <w:color w:val="auto"/>
                      <w:sz w:val="21"/>
                      <w:szCs w:val="21"/>
                      <w:highlight w:val="none"/>
                      <w:lang w:val="en-US" w:eastAsia="zh-CN"/>
                    </w:rPr>
                    <w:t>、废润滑油、含油抹布、废旧蓄电池在</w:t>
                  </w:r>
                  <w:r>
                    <w:rPr>
                      <w:rFonts w:hint="eastAsia" w:ascii="Times New Roman" w:hAnsi="Times New Roman" w:eastAsia="宋体" w:cs="Times New Roman"/>
                      <w:color w:val="auto"/>
                      <w:sz w:val="21"/>
                      <w:szCs w:val="21"/>
                      <w:highlight w:val="none"/>
                      <w:lang w:val="en-US" w:eastAsia="zh-CN"/>
                    </w:rPr>
                    <w:t>升压站内危险废物贮存库</w:t>
                  </w:r>
                  <w:r>
                    <w:rPr>
                      <w:rFonts w:hint="default" w:ascii="Times New Roman" w:hAnsi="Times New Roman" w:eastAsia="宋体" w:cs="Times New Roman"/>
                      <w:color w:val="auto"/>
                      <w:sz w:val="21"/>
                      <w:szCs w:val="21"/>
                      <w:highlight w:val="none"/>
                      <w:lang w:val="en-US" w:eastAsia="zh-CN"/>
                    </w:rPr>
                    <w:t>暂存，定期交由有危险废物处理资质单位处置。</w:t>
                  </w:r>
                </w:p>
              </w:tc>
            </w:tr>
            <w:tr w14:paraId="5A5FF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7" w:type="pct"/>
                  <w:vMerge w:val="continue"/>
                  <w:noWrap w:val="0"/>
                  <w:tcMar>
                    <w:left w:w="28" w:type="dxa"/>
                    <w:right w:w="28" w:type="dxa"/>
                  </w:tcMar>
                  <w:vAlign w:val="center"/>
                </w:tcPr>
                <w:p w14:paraId="4209A73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467" w:type="pct"/>
                  <w:gridSpan w:val="3"/>
                  <w:vMerge w:val="continue"/>
                  <w:noWrap w:val="0"/>
                  <w:tcMar>
                    <w:left w:w="28" w:type="dxa"/>
                    <w:right w:w="28" w:type="dxa"/>
                  </w:tcMar>
                  <w:vAlign w:val="center"/>
                </w:tcPr>
                <w:p w14:paraId="37D7867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3205" w:type="pct"/>
                  <w:noWrap w:val="0"/>
                  <w:tcMar>
                    <w:left w:w="28" w:type="dxa"/>
                    <w:right w:w="28" w:type="dxa"/>
                  </w:tcMar>
                  <w:vAlign w:val="center"/>
                </w:tcPr>
                <w:p w14:paraId="352D77E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废磷酸铁锂电池</w:t>
                  </w:r>
                  <w:r>
                    <w:rPr>
                      <w:rFonts w:hint="eastAsia" w:ascii="Times New Roman" w:hAnsi="Times New Roman" w:eastAsia="宋体" w:cs="Times New Roman"/>
                      <w:color w:val="auto"/>
                      <w:sz w:val="21"/>
                      <w:szCs w:val="21"/>
                      <w:highlight w:val="none"/>
                      <w:lang w:val="en-US" w:eastAsia="zh-CN"/>
                    </w:rPr>
                    <w:t>、废钠离子电池</w:t>
                  </w:r>
                  <w:r>
                    <w:rPr>
                      <w:rFonts w:hint="default" w:ascii="Times New Roman" w:hAnsi="Times New Roman" w:eastAsia="宋体" w:cs="Times New Roman"/>
                      <w:color w:val="auto"/>
                      <w:sz w:val="21"/>
                      <w:szCs w:val="21"/>
                      <w:highlight w:val="none"/>
                      <w:lang w:val="en-US" w:eastAsia="zh-CN"/>
                    </w:rPr>
                    <w:t>由厂家回收</w:t>
                  </w:r>
                </w:p>
              </w:tc>
            </w:tr>
            <w:tr w14:paraId="67930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7" w:type="pct"/>
                  <w:vMerge w:val="continue"/>
                  <w:noWrap w:val="0"/>
                  <w:tcMar>
                    <w:left w:w="28" w:type="dxa"/>
                    <w:right w:w="28" w:type="dxa"/>
                  </w:tcMar>
                  <w:vAlign w:val="center"/>
                </w:tcPr>
                <w:p w14:paraId="4622067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467" w:type="pct"/>
                  <w:gridSpan w:val="3"/>
                  <w:vMerge w:val="continue"/>
                  <w:noWrap w:val="0"/>
                  <w:tcMar>
                    <w:left w:w="28" w:type="dxa"/>
                    <w:right w:w="28" w:type="dxa"/>
                  </w:tcMar>
                  <w:vAlign w:val="center"/>
                </w:tcPr>
                <w:p w14:paraId="09CAB3C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3205" w:type="pct"/>
                  <w:noWrap w:val="0"/>
                  <w:tcMar>
                    <w:left w:w="28" w:type="dxa"/>
                    <w:right w:w="28" w:type="dxa"/>
                  </w:tcMar>
                  <w:vAlign w:val="center"/>
                </w:tcPr>
                <w:p w14:paraId="3DEB0FDC">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生活垃圾集中收集后，</w:t>
                  </w:r>
                  <w:r>
                    <w:rPr>
                      <w:rFonts w:hint="eastAsia" w:ascii="Times New Roman" w:hAnsi="Times New Roman" w:eastAsia="宋体" w:cs="Times New Roman"/>
                      <w:color w:val="auto"/>
                      <w:sz w:val="21"/>
                      <w:szCs w:val="21"/>
                      <w:highlight w:val="none"/>
                      <w:lang w:val="en-US" w:eastAsia="zh-CN"/>
                    </w:rPr>
                    <w:t>交由环卫部门处理</w:t>
                  </w:r>
                  <w:r>
                    <w:rPr>
                      <w:rFonts w:hint="default" w:ascii="Times New Roman" w:hAnsi="Times New Roman" w:eastAsia="宋体" w:cs="Times New Roman"/>
                      <w:color w:val="auto"/>
                      <w:sz w:val="21"/>
                      <w:szCs w:val="21"/>
                      <w:highlight w:val="none"/>
                      <w:lang w:val="en-US" w:eastAsia="zh-CN"/>
                    </w:rPr>
                    <w:t>。</w:t>
                  </w:r>
                </w:p>
              </w:tc>
            </w:tr>
            <w:tr w14:paraId="2CA40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7" w:type="pct"/>
                  <w:vMerge w:val="continue"/>
                  <w:noWrap w:val="0"/>
                  <w:tcMar>
                    <w:left w:w="28" w:type="dxa"/>
                    <w:right w:w="28" w:type="dxa"/>
                  </w:tcMar>
                  <w:vAlign w:val="center"/>
                </w:tcPr>
                <w:p w14:paraId="22A00CC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467" w:type="pct"/>
                  <w:gridSpan w:val="3"/>
                  <w:noWrap w:val="0"/>
                  <w:tcMar>
                    <w:left w:w="28" w:type="dxa"/>
                    <w:right w:w="28" w:type="dxa"/>
                  </w:tcMar>
                  <w:vAlign w:val="center"/>
                </w:tcPr>
                <w:p w14:paraId="73963ED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风险防范措施</w:t>
                  </w:r>
                </w:p>
              </w:tc>
              <w:tc>
                <w:tcPr>
                  <w:tcW w:w="3205" w:type="pct"/>
                  <w:noWrap w:val="0"/>
                  <w:tcMar>
                    <w:left w:w="28" w:type="dxa"/>
                    <w:right w:w="28" w:type="dxa"/>
                  </w:tcMar>
                  <w:vAlign w:val="center"/>
                </w:tcPr>
                <w:p w14:paraId="5C4B0D5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升压站</w:t>
                  </w:r>
                  <w:r>
                    <w:rPr>
                      <w:rFonts w:hint="default" w:ascii="Times New Roman" w:hAnsi="Times New Roman" w:eastAsia="宋体" w:cs="Times New Roman"/>
                      <w:color w:val="auto"/>
                      <w:sz w:val="21"/>
                      <w:szCs w:val="21"/>
                      <w:highlight w:val="none"/>
                      <w:lang w:val="en-US" w:eastAsia="zh-CN"/>
                    </w:rPr>
                    <w:t>内设置事故油池（</w:t>
                  </w:r>
                  <w:r>
                    <w:rPr>
                      <w:rFonts w:hint="eastAsia" w:ascii="Times New Roman" w:hAnsi="Times New Roman" w:eastAsia="宋体" w:cs="Times New Roman"/>
                      <w:color w:val="auto"/>
                      <w:sz w:val="21"/>
                      <w:szCs w:val="21"/>
                      <w:highlight w:val="none"/>
                      <w:lang w:val="en-US" w:eastAsia="zh-CN"/>
                    </w:rPr>
                    <w:t>100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）、火灾自动报警系统、视频监控系统以及消防系统</w:t>
                  </w:r>
                </w:p>
              </w:tc>
            </w:tr>
          </w:tbl>
          <w:p w14:paraId="68FEC4A1">
            <w:pPr>
              <w:keepNext w:val="0"/>
              <w:keepLines w:val="0"/>
              <w:pageBreakBefore w:val="0"/>
              <w:widowControl w:val="0"/>
              <w:wordWrap/>
              <w:topLinePunct w:val="0"/>
              <w:bidi w:val="0"/>
              <w:spacing w:line="360" w:lineRule="auto"/>
              <w:rPr>
                <w:rFonts w:hint="default"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2.3主要设备及技术参数</w:t>
            </w:r>
          </w:p>
          <w:p w14:paraId="42D503E5">
            <w:pPr>
              <w:keepNext w:val="0"/>
              <w:keepLines w:val="0"/>
              <w:pageBreakBefore w:val="0"/>
              <w:widowControl w:val="0"/>
              <w:wordWrap/>
              <w:topLinePunct w:val="0"/>
              <w:bidi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本项目</w:t>
            </w:r>
            <w:r>
              <w:rPr>
                <w:rFonts w:hint="eastAsia" w:ascii="Times New Roman" w:hAnsi="Times New Roman" w:eastAsia="宋体" w:cs="Times New Roman"/>
                <w:bCs/>
                <w:color w:val="auto"/>
                <w:sz w:val="24"/>
                <w:szCs w:val="24"/>
                <w:highlight w:val="none"/>
                <w:lang w:val="en-US" w:eastAsia="zh-CN"/>
              </w:rPr>
              <w:t>储能电站</w:t>
            </w:r>
            <w:r>
              <w:rPr>
                <w:rFonts w:hint="default" w:ascii="Times New Roman" w:hAnsi="Times New Roman" w:eastAsia="宋体" w:cs="Times New Roman"/>
                <w:bCs/>
                <w:color w:val="auto"/>
                <w:sz w:val="24"/>
                <w:szCs w:val="24"/>
                <w:highlight w:val="none"/>
              </w:rPr>
              <w:t>主要设备及技术参数一览</w:t>
            </w:r>
            <w:r>
              <w:rPr>
                <w:rFonts w:hint="eastAsia"/>
                <w:sz w:val="24"/>
                <w:szCs w:val="24"/>
                <w:lang w:val="en-US" w:eastAsia="zh-CN"/>
              </w:rPr>
              <w:t>表</w:t>
            </w:r>
            <w:r>
              <w:rPr>
                <w:rFonts w:hint="default" w:ascii="Times New Roman" w:hAnsi="Times New Roman" w:eastAsia="宋体" w:cs="Times New Roman"/>
                <w:bCs/>
                <w:color w:val="auto"/>
                <w:sz w:val="24"/>
                <w:szCs w:val="24"/>
                <w:highlight w:val="none"/>
              </w:rPr>
              <w:t>见表</w:t>
            </w:r>
            <w:r>
              <w:rPr>
                <w:rFonts w:hint="eastAsia" w:ascii="Times New Roman" w:hAnsi="Times New Roman" w:eastAsia="宋体" w:cs="Times New Roman"/>
                <w:bCs/>
                <w:color w:val="auto"/>
                <w:sz w:val="24"/>
                <w:szCs w:val="24"/>
                <w:highlight w:val="none"/>
                <w:lang w:val="en-US" w:eastAsia="zh-CN"/>
              </w:rPr>
              <w:t>2-2</w:t>
            </w:r>
            <w:r>
              <w:rPr>
                <w:rFonts w:hint="default" w:ascii="Times New Roman" w:hAnsi="Times New Roman" w:eastAsia="宋体" w:cs="Times New Roman"/>
                <w:bCs/>
                <w:color w:val="auto"/>
                <w:sz w:val="24"/>
                <w:szCs w:val="24"/>
                <w:highlight w:val="none"/>
              </w:rPr>
              <w:t>。</w:t>
            </w:r>
          </w:p>
          <w:p w14:paraId="556A9A86">
            <w:pPr>
              <w:pStyle w:val="16"/>
              <w:keepNext w:val="0"/>
              <w:keepLines w:val="0"/>
              <w:pageBreakBefore w:val="0"/>
              <w:widowControl w:val="0"/>
              <w:wordWrap/>
              <w:topLinePunct w:val="0"/>
              <w:bidi w:val="0"/>
              <w:adjustRightInd w:val="0"/>
              <w:snapToGrid w:val="0"/>
              <w:spacing w:before="0" w:beforeAutospacing="0" w:after="0" w:afterAutospacing="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2-</w:t>
            </w:r>
            <w:r>
              <w:rPr>
                <w:rFonts w:hint="eastAsia" w:ascii="Times New Roman" w:hAnsi="Times New Roman" w:eastAsia="宋体" w:cs="Times New Roman"/>
                <w:b/>
                <w:color w:val="auto"/>
                <w:sz w:val="21"/>
                <w:szCs w:val="21"/>
                <w:highlight w:val="none"/>
                <w:lang w:val="en-US" w:eastAsia="zh-CN"/>
              </w:rPr>
              <w:t>2</w:t>
            </w:r>
            <w:r>
              <w:rPr>
                <w:rFonts w:hint="default" w:ascii="Times New Roman" w:hAnsi="Times New Roman" w:eastAsia="宋体" w:cs="Times New Roman"/>
                <w:b/>
                <w:color w:val="auto"/>
                <w:sz w:val="21"/>
                <w:szCs w:val="21"/>
                <w:highlight w:val="none"/>
              </w:rPr>
              <w:t xml:space="preserve">   主要设备及技术参数一览表</w:t>
            </w:r>
          </w:p>
          <w:tbl>
            <w:tblPr>
              <w:tblStyle w:val="28"/>
              <w:tblW w:w="4994" w:type="pct"/>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autofit"/>
              <w:tblCellMar>
                <w:top w:w="0" w:type="dxa"/>
                <w:left w:w="0" w:type="dxa"/>
                <w:bottom w:w="0" w:type="dxa"/>
                <w:right w:w="0" w:type="dxa"/>
              </w:tblCellMar>
            </w:tblPr>
            <w:tblGrid>
              <w:gridCol w:w="1098"/>
              <w:gridCol w:w="2626"/>
              <w:gridCol w:w="1068"/>
              <w:gridCol w:w="3125"/>
            </w:tblGrid>
            <w:tr w14:paraId="1A8AA5E9">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93" w:type="pct"/>
                  <w:tcBorders>
                    <w:tl2br w:val="nil"/>
                    <w:tr2bl w:val="nil"/>
                  </w:tcBorders>
                  <w:noWrap w:val="0"/>
                  <w:vAlign w:val="center"/>
                </w:tcPr>
                <w:p w14:paraId="630463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序号</w:t>
                  </w:r>
                </w:p>
              </w:tc>
              <w:tc>
                <w:tcPr>
                  <w:tcW w:w="1658" w:type="pct"/>
                  <w:tcBorders>
                    <w:tl2br w:val="nil"/>
                    <w:tr2bl w:val="nil"/>
                  </w:tcBorders>
                  <w:noWrap w:val="0"/>
                  <w:vAlign w:val="center"/>
                </w:tcPr>
                <w:p w14:paraId="5FAC39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项目</w:t>
                  </w:r>
                </w:p>
              </w:tc>
              <w:tc>
                <w:tcPr>
                  <w:tcW w:w="674" w:type="pct"/>
                  <w:tcBorders>
                    <w:tl2br w:val="nil"/>
                    <w:tr2bl w:val="nil"/>
                  </w:tcBorders>
                  <w:noWrap w:val="0"/>
                  <w:vAlign w:val="center"/>
                </w:tcPr>
                <w:p w14:paraId="49C0BD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单位</w:t>
                  </w:r>
                </w:p>
              </w:tc>
              <w:tc>
                <w:tcPr>
                  <w:tcW w:w="1973" w:type="pct"/>
                  <w:tcBorders>
                    <w:tl2br w:val="nil"/>
                    <w:tr2bl w:val="nil"/>
                  </w:tcBorders>
                  <w:noWrap w:val="0"/>
                  <w:vAlign w:val="center"/>
                </w:tcPr>
                <w:p w14:paraId="61853D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数量</w:t>
                  </w:r>
                </w:p>
              </w:tc>
            </w:tr>
            <w:tr w14:paraId="237592BA">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93" w:type="pct"/>
                  <w:tcBorders>
                    <w:tl2br w:val="nil"/>
                    <w:tr2bl w:val="nil"/>
                  </w:tcBorders>
                  <w:noWrap w:val="0"/>
                  <w:vAlign w:val="center"/>
                </w:tcPr>
                <w:p w14:paraId="3FB581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8"/>
                      <w:sz w:val="21"/>
                      <w:szCs w:val="21"/>
                      <w:highlight w:val="none"/>
                      <w:lang w:val="en-US" w:eastAsia="zh-CN"/>
                    </w:rPr>
                  </w:pPr>
                  <w:r>
                    <w:rPr>
                      <w:rFonts w:hint="eastAsia" w:ascii="Times New Roman" w:hAnsi="Times New Roman" w:eastAsia="宋体" w:cs="Times New Roman"/>
                      <w:b/>
                      <w:bCs/>
                      <w:color w:val="auto"/>
                      <w:spacing w:val="-8"/>
                      <w:sz w:val="21"/>
                      <w:szCs w:val="21"/>
                      <w:highlight w:val="none"/>
                      <w:lang w:val="en-US" w:eastAsia="zh-CN"/>
                    </w:rPr>
                    <w:t>一</w:t>
                  </w:r>
                </w:p>
              </w:tc>
              <w:tc>
                <w:tcPr>
                  <w:tcW w:w="1658" w:type="pct"/>
                  <w:tcBorders>
                    <w:tl2br w:val="nil"/>
                    <w:tr2bl w:val="nil"/>
                  </w:tcBorders>
                  <w:noWrap w:val="0"/>
                  <w:vAlign w:val="center"/>
                </w:tcPr>
                <w:p w14:paraId="4F81B9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8"/>
                      <w:sz w:val="21"/>
                      <w:szCs w:val="21"/>
                      <w:highlight w:val="none"/>
                      <w:lang w:val="en-US" w:eastAsia="zh-CN"/>
                    </w:rPr>
                  </w:pPr>
                  <w:r>
                    <w:rPr>
                      <w:rFonts w:hint="eastAsia" w:ascii="Times New Roman" w:hAnsi="Times New Roman" w:eastAsia="宋体" w:cs="Times New Roman"/>
                      <w:b/>
                      <w:bCs/>
                      <w:color w:val="auto"/>
                      <w:spacing w:val="-8"/>
                      <w:sz w:val="21"/>
                      <w:szCs w:val="21"/>
                      <w:highlight w:val="none"/>
                      <w:lang w:val="en-US" w:eastAsia="zh-CN"/>
                    </w:rPr>
                    <w:t>主变</w:t>
                  </w:r>
                </w:p>
              </w:tc>
              <w:tc>
                <w:tcPr>
                  <w:tcW w:w="674" w:type="pct"/>
                  <w:tcBorders>
                    <w:tl2br w:val="nil"/>
                    <w:tr2bl w:val="nil"/>
                  </w:tcBorders>
                  <w:noWrap w:val="0"/>
                  <w:vAlign w:val="center"/>
                </w:tcPr>
                <w:p w14:paraId="14C757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8"/>
                      <w:sz w:val="21"/>
                      <w:szCs w:val="21"/>
                      <w:highlight w:val="none"/>
                      <w:lang w:val="en-US" w:eastAsia="zh-CN"/>
                    </w:rPr>
                  </w:pPr>
                </w:p>
              </w:tc>
              <w:tc>
                <w:tcPr>
                  <w:tcW w:w="1973" w:type="pct"/>
                  <w:tcBorders>
                    <w:tl2br w:val="nil"/>
                    <w:tr2bl w:val="nil"/>
                  </w:tcBorders>
                  <w:noWrap w:val="0"/>
                  <w:vAlign w:val="center"/>
                </w:tcPr>
                <w:p w14:paraId="50DA1E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8"/>
                      <w:sz w:val="21"/>
                      <w:szCs w:val="21"/>
                      <w:highlight w:val="none"/>
                      <w:lang w:val="en-US" w:eastAsia="zh-CN"/>
                    </w:rPr>
                  </w:pPr>
                </w:p>
              </w:tc>
            </w:tr>
            <w:tr w14:paraId="0A8AC50A">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93" w:type="pct"/>
                  <w:tcBorders>
                    <w:tl2br w:val="nil"/>
                    <w:tr2bl w:val="nil"/>
                  </w:tcBorders>
                  <w:noWrap w:val="0"/>
                  <w:vAlign w:val="center"/>
                </w:tcPr>
                <w:p w14:paraId="0CA208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1</w:t>
                  </w:r>
                </w:p>
              </w:tc>
              <w:tc>
                <w:tcPr>
                  <w:tcW w:w="1658" w:type="pct"/>
                  <w:tcBorders>
                    <w:tl2br w:val="nil"/>
                    <w:tr2bl w:val="nil"/>
                  </w:tcBorders>
                  <w:noWrap w:val="0"/>
                  <w:vAlign w:val="center"/>
                </w:tcPr>
                <w:p w14:paraId="6CEDA1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default" w:ascii="Times New Roman" w:hAnsi="Times New Roman" w:eastAsia="宋体" w:cs="Times New Roman"/>
                      <w:color w:val="auto"/>
                      <w:spacing w:val="-8"/>
                      <w:sz w:val="21"/>
                      <w:szCs w:val="21"/>
                      <w:highlight w:val="none"/>
                    </w:rPr>
                    <w:t>台数</w:t>
                  </w:r>
                </w:p>
              </w:tc>
              <w:tc>
                <w:tcPr>
                  <w:tcW w:w="674" w:type="pct"/>
                  <w:tcBorders>
                    <w:tl2br w:val="nil"/>
                    <w:tr2bl w:val="nil"/>
                  </w:tcBorders>
                  <w:noWrap w:val="0"/>
                  <w:vAlign w:val="center"/>
                </w:tcPr>
                <w:p w14:paraId="766AC7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default" w:ascii="Times New Roman" w:hAnsi="Times New Roman" w:eastAsia="宋体" w:cs="Times New Roman"/>
                      <w:color w:val="auto"/>
                      <w:spacing w:val="-8"/>
                      <w:sz w:val="21"/>
                      <w:szCs w:val="21"/>
                      <w:highlight w:val="none"/>
                    </w:rPr>
                    <w:t>台</w:t>
                  </w:r>
                </w:p>
              </w:tc>
              <w:tc>
                <w:tcPr>
                  <w:tcW w:w="1973" w:type="pct"/>
                  <w:tcBorders>
                    <w:tl2br w:val="nil"/>
                    <w:tr2bl w:val="nil"/>
                  </w:tcBorders>
                  <w:noWrap w:val="0"/>
                  <w:vAlign w:val="center"/>
                </w:tcPr>
                <w:p w14:paraId="5B097A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default" w:ascii="Times New Roman" w:hAnsi="Times New Roman" w:eastAsia="宋体" w:cs="Times New Roman"/>
                      <w:color w:val="auto"/>
                      <w:spacing w:val="-8"/>
                      <w:sz w:val="21"/>
                      <w:szCs w:val="21"/>
                      <w:highlight w:val="none"/>
                      <w:lang w:val="en-US" w:eastAsia="zh-CN"/>
                    </w:rPr>
                    <w:t>2</w:t>
                  </w:r>
                </w:p>
              </w:tc>
            </w:tr>
            <w:tr w14:paraId="43091384">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93" w:type="pct"/>
                  <w:tcBorders>
                    <w:tl2br w:val="nil"/>
                    <w:tr2bl w:val="nil"/>
                  </w:tcBorders>
                  <w:noWrap w:val="0"/>
                  <w:vAlign w:val="center"/>
                </w:tcPr>
                <w:p w14:paraId="51B8AE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2</w:t>
                  </w:r>
                </w:p>
              </w:tc>
              <w:tc>
                <w:tcPr>
                  <w:tcW w:w="1658" w:type="pct"/>
                  <w:tcBorders>
                    <w:tl2br w:val="nil"/>
                    <w:tr2bl w:val="nil"/>
                  </w:tcBorders>
                  <w:noWrap w:val="0"/>
                  <w:vAlign w:val="center"/>
                </w:tcPr>
                <w:p w14:paraId="300F6A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default" w:ascii="Times New Roman" w:hAnsi="Times New Roman" w:eastAsia="宋体" w:cs="Times New Roman"/>
                      <w:color w:val="auto"/>
                      <w:spacing w:val="-8"/>
                      <w:sz w:val="21"/>
                      <w:szCs w:val="21"/>
                      <w:highlight w:val="none"/>
                    </w:rPr>
                    <w:t>容量</w:t>
                  </w:r>
                </w:p>
              </w:tc>
              <w:tc>
                <w:tcPr>
                  <w:tcW w:w="674" w:type="pct"/>
                  <w:tcBorders>
                    <w:tl2br w:val="nil"/>
                    <w:tr2bl w:val="nil"/>
                  </w:tcBorders>
                  <w:noWrap w:val="0"/>
                  <w:vAlign w:val="center"/>
                </w:tcPr>
                <w:p w14:paraId="22B2C7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default" w:ascii="Times New Roman" w:hAnsi="Times New Roman" w:eastAsia="宋体" w:cs="Times New Roman"/>
                      <w:color w:val="auto"/>
                      <w:spacing w:val="-8"/>
                      <w:sz w:val="21"/>
                      <w:szCs w:val="21"/>
                      <w:highlight w:val="none"/>
                    </w:rPr>
                    <w:t>MVA</w:t>
                  </w:r>
                </w:p>
              </w:tc>
              <w:tc>
                <w:tcPr>
                  <w:tcW w:w="1973" w:type="pct"/>
                  <w:tcBorders>
                    <w:tl2br w:val="nil"/>
                    <w:tr2bl w:val="nil"/>
                  </w:tcBorders>
                  <w:noWrap w:val="0"/>
                  <w:vAlign w:val="center"/>
                </w:tcPr>
                <w:p w14:paraId="183220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240</w:t>
                  </w:r>
                </w:p>
              </w:tc>
            </w:tr>
            <w:tr w14:paraId="5639E90C">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93" w:type="pct"/>
                  <w:tcBorders>
                    <w:tl2br w:val="nil"/>
                    <w:tr2bl w:val="nil"/>
                  </w:tcBorders>
                  <w:noWrap w:val="0"/>
                  <w:vAlign w:val="center"/>
                </w:tcPr>
                <w:p w14:paraId="0A776C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3</w:t>
                  </w:r>
                </w:p>
              </w:tc>
              <w:tc>
                <w:tcPr>
                  <w:tcW w:w="1658" w:type="pct"/>
                  <w:tcBorders>
                    <w:tl2br w:val="nil"/>
                    <w:tr2bl w:val="nil"/>
                  </w:tcBorders>
                  <w:noWrap w:val="0"/>
                  <w:vAlign w:val="center"/>
                </w:tcPr>
                <w:p w14:paraId="49031A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型号</w:t>
                  </w:r>
                </w:p>
              </w:tc>
              <w:tc>
                <w:tcPr>
                  <w:tcW w:w="674" w:type="pct"/>
                  <w:tcBorders>
                    <w:tl2br w:val="nil"/>
                    <w:tr2bl w:val="nil"/>
                  </w:tcBorders>
                  <w:noWrap w:val="0"/>
                  <w:vAlign w:val="center"/>
                </w:tcPr>
                <w:p w14:paraId="7167C9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8"/>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w:t>
                  </w:r>
                </w:p>
              </w:tc>
              <w:tc>
                <w:tcPr>
                  <w:tcW w:w="1973" w:type="pct"/>
                  <w:tcBorders>
                    <w:tl2br w:val="nil"/>
                    <w:tr2bl w:val="nil"/>
                  </w:tcBorders>
                  <w:noWrap w:val="0"/>
                  <w:vAlign w:val="center"/>
                </w:tcPr>
                <w:p w14:paraId="0813A06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pacing w:val="-8"/>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 xml:space="preserve">    SFZ18-240000/220</w:t>
                  </w:r>
                </w:p>
              </w:tc>
            </w:tr>
            <w:tr w14:paraId="3B9C16FA">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93" w:type="pct"/>
                  <w:tcBorders>
                    <w:tl2br w:val="nil"/>
                    <w:tr2bl w:val="nil"/>
                  </w:tcBorders>
                  <w:noWrap w:val="0"/>
                  <w:vAlign w:val="center"/>
                </w:tcPr>
                <w:p w14:paraId="43E700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8"/>
                      <w:sz w:val="21"/>
                      <w:szCs w:val="21"/>
                      <w:highlight w:val="none"/>
                      <w:lang w:val="en-US" w:eastAsia="zh-CN"/>
                    </w:rPr>
                  </w:pPr>
                  <w:r>
                    <w:rPr>
                      <w:rFonts w:hint="eastAsia" w:ascii="Times New Roman" w:hAnsi="Times New Roman" w:eastAsia="宋体" w:cs="Times New Roman"/>
                      <w:b/>
                      <w:bCs/>
                      <w:color w:val="auto"/>
                      <w:spacing w:val="-8"/>
                      <w:sz w:val="21"/>
                      <w:szCs w:val="21"/>
                      <w:highlight w:val="none"/>
                      <w:lang w:val="en-US" w:eastAsia="zh-CN"/>
                    </w:rPr>
                    <w:t>二</w:t>
                  </w:r>
                </w:p>
              </w:tc>
              <w:tc>
                <w:tcPr>
                  <w:tcW w:w="1658" w:type="pct"/>
                  <w:tcBorders>
                    <w:tl2br w:val="nil"/>
                    <w:tr2bl w:val="nil"/>
                  </w:tcBorders>
                  <w:noWrap w:val="0"/>
                  <w:vAlign w:val="center"/>
                </w:tcPr>
                <w:p w14:paraId="4203C5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8"/>
                      <w:sz w:val="21"/>
                      <w:szCs w:val="21"/>
                      <w:highlight w:val="none"/>
                      <w:lang w:val="en-US" w:eastAsia="zh-CN"/>
                    </w:rPr>
                  </w:pPr>
                  <w:r>
                    <w:rPr>
                      <w:rFonts w:hint="eastAsia" w:ascii="Times New Roman" w:hAnsi="Times New Roman" w:eastAsia="宋体" w:cs="Times New Roman"/>
                      <w:b/>
                      <w:bCs/>
                      <w:color w:val="auto"/>
                      <w:spacing w:val="-8"/>
                      <w:sz w:val="21"/>
                      <w:szCs w:val="21"/>
                      <w:highlight w:val="none"/>
                      <w:lang w:val="en-US" w:eastAsia="zh-CN"/>
                    </w:rPr>
                    <w:t>其他电气设备</w:t>
                  </w:r>
                </w:p>
              </w:tc>
              <w:tc>
                <w:tcPr>
                  <w:tcW w:w="674" w:type="pct"/>
                  <w:tcBorders>
                    <w:tl2br w:val="nil"/>
                    <w:tr2bl w:val="nil"/>
                  </w:tcBorders>
                  <w:noWrap w:val="0"/>
                  <w:vAlign w:val="center"/>
                </w:tcPr>
                <w:p w14:paraId="56600D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8"/>
                      <w:sz w:val="21"/>
                      <w:szCs w:val="21"/>
                      <w:highlight w:val="none"/>
                      <w:lang w:val="en-US" w:eastAsia="zh-CN"/>
                    </w:rPr>
                  </w:pPr>
                </w:p>
              </w:tc>
              <w:tc>
                <w:tcPr>
                  <w:tcW w:w="1973" w:type="pct"/>
                  <w:tcBorders>
                    <w:tl2br w:val="nil"/>
                    <w:tr2bl w:val="nil"/>
                  </w:tcBorders>
                  <w:noWrap w:val="0"/>
                  <w:vAlign w:val="center"/>
                </w:tcPr>
                <w:p w14:paraId="316341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8"/>
                      <w:sz w:val="21"/>
                      <w:szCs w:val="21"/>
                      <w:highlight w:val="none"/>
                      <w:lang w:val="en-US" w:eastAsia="zh-CN"/>
                    </w:rPr>
                  </w:pPr>
                </w:p>
              </w:tc>
            </w:tr>
            <w:tr w14:paraId="488F3C60">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93" w:type="pct"/>
                  <w:tcBorders>
                    <w:tl2br w:val="nil"/>
                    <w:tr2bl w:val="nil"/>
                  </w:tcBorders>
                  <w:noWrap w:val="0"/>
                  <w:vAlign w:val="center"/>
                </w:tcPr>
                <w:p w14:paraId="1BE201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1</w:t>
                  </w:r>
                </w:p>
              </w:tc>
              <w:tc>
                <w:tcPr>
                  <w:tcW w:w="1658" w:type="pct"/>
                  <w:tcBorders>
                    <w:tl2br w:val="nil"/>
                    <w:tr2bl w:val="nil"/>
                  </w:tcBorders>
                  <w:noWrap w:val="0"/>
                  <w:vAlign w:val="center"/>
                </w:tcPr>
                <w:p w14:paraId="29ACB2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220kV配电装置</w:t>
                  </w:r>
                </w:p>
              </w:tc>
              <w:tc>
                <w:tcPr>
                  <w:tcW w:w="674" w:type="pct"/>
                  <w:tcBorders>
                    <w:tl2br w:val="nil"/>
                    <w:tr2bl w:val="nil"/>
                  </w:tcBorders>
                  <w:noWrap w:val="0"/>
                  <w:vAlign w:val="center"/>
                </w:tcPr>
                <w:p w14:paraId="4A44D5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套</w:t>
                  </w:r>
                </w:p>
              </w:tc>
              <w:tc>
                <w:tcPr>
                  <w:tcW w:w="1973" w:type="pct"/>
                  <w:tcBorders>
                    <w:tl2br w:val="nil"/>
                    <w:tr2bl w:val="nil"/>
                  </w:tcBorders>
                  <w:noWrap w:val="0"/>
                  <w:vAlign w:val="center"/>
                </w:tcPr>
                <w:p w14:paraId="4DADF1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1</w:t>
                  </w:r>
                </w:p>
              </w:tc>
            </w:tr>
            <w:tr w14:paraId="4B727346">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93" w:type="pct"/>
                  <w:tcBorders>
                    <w:tl2br w:val="nil"/>
                    <w:tr2bl w:val="nil"/>
                  </w:tcBorders>
                  <w:noWrap w:val="0"/>
                  <w:vAlign w:val="center"/>
                </w:tcPr>
                <w:p w14:paraId="293C2E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2</w:t>
                  </w:r>
                </w:p>
              </w:tc>
              <w:tc>
                <w:tcPr>
                  <w:tcW w:w="1658" w:type="pct"/>
                  <w:tcBorders>
                    <w:tl2br w:val="nil"/>
                    <w:tr2bl w:val="nil"/>
                  </w:tcBorders>
                  <w:noWrap w:val="0"/>
                  <w:vAlign w:val="center"/>
                </w:tcPr>
                <w:p w14:paraId="1AE325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35kV配电装置</w:t>
                  </w:r>
                </w:p>
              </w:tc>
              <w:tc>
                <w:tcPr>
                  <w:tcW w:w="674" w:type="pct"/>
                  <w:tcBorders>
                    <w:tl2br w:val="nil"/>
                    <w:tr2bl w:val="nil"/>
                  </w:tcBorders>
                  <w:noWrap w:val="0"/>
                  <w:vAlign w:val="center"/>
                </w:tcPr>
                <w:p w14:paraId="762A18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8"/>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套</w:t>
                  </w:r>
                </w:p>
              </w:tc>
              <w:tc>
                <w:tcPr>
                  <w:tcW w:w="1973" w:type="pct"/>
                  <w:tcBorders>
                    <w:tl2br w:val="nil"/>
                    <w:tr2bl w:val="nil"/>
                  </w:tcBorders>
                  <w:noWrap w:val="0"/>
                  <w:vAlign w:val="center"/>
                </w:tcPr>
                <w:p w14:paraId="78D691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4</w:t>
                  </w:r>
                </w:p>
              </w:tc>
            </w:tr>
            <w:tr w14:paraId="0DC16A38">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93" w:type="pct"/>
                  <w:tcBorders>
                    <w:tl2br w:val="nil"/>
                    <w:tr2bl w:val="nil"/>
                  </w:tcBorders>
                  <w:noWrap w:val="0"/>
                  <w:vAlign w:val="center"/>
                </w:tcPr>
                <w:p w14:paraId="50830F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3</w:t>
                  </w:r>
                </w:p>
              </w:tc>
              <w:tc>
                <w:tcPr>
                  <w:tcW w:w="1658" w:type="pct"/>
                  <w:tcBorders>
                    <w:tl2br w:val="nil"/>
                    <w:tr2bl w:val="nil"/>
                  </w:tcBorders>
                  <w:noWrap w:val="0"/>
                  <w:vAlign w:val="center"/>
                </w:tcPr>
                <w:p w14:paraId="77947B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无功补偿装置SVG（</w:t>
                  </w:r>
                  <w:r>
                    <w:rPr>
                      <w:rFonts w:hint="default" w:ascii="Times New Roman" w:hAnsi="Times New Roman" w:eastAsia="宋体" w:cs="Times New Roman"/>
                      <w:color w:val="auto"/>
                      <w:spacing w:val="-8"/>
                      <w:sz w:val="21"/>
                      <w:szCs w:val="21"/>
                      <w:highlight w:val="none"/>
                      <w:lang w:val="en-US" w:eastAsia="zh-CN"/>
                    </w:rPr>
                    <w:t>±</w:t>
                  </w:r>
                  <w:r>
                    <w:rPr>
                      <w:rFonts w:hint="eastAsia" w:ascii="Times New Roman" w:hAnsi="Times New Roman" w:eastAsia="宋体" w:cs="Times New Roman"/>
                      <w:color w:val="auto"/>
                      <w:spacing w:val="-8"/>
                      <w:sz w:val="21"/>
                      <w:szCs w:val="21"/>
                      <w:highlight w:val="none"/>
                      <w:lang w:val="en-US" w:eastAsia="zh-CN"/>
                    </w:rPr>
                    <w:t>48Mvar）</w:t>
                  </w:r>
                </w:p>
              </w:tc>
              <w:tc>
                <w:tcPr>
                  <w:tcW w:w="674" w:type="pct"/>
                  <w:tcBorders>
                    <w:tl2br w:val="nil"/>
                    <w:tr2bl w:val="nil"/>
                  </w:tcBorders>
                  <w:noWrap w:val="0"/>
                  <w:vAlign w:val="center"/>
                </w:tcPr>
                <w:p w14:paraId="5094AC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套</w:t>
                  </w:r>
                </w:p>
              </w:tc>
              <w:tc>
                <w:tcPr>
                  <w:tcW w:w="1973" w:type="pct"/>
                  <w:tcBorders>
                    <w:tl2br w:val="nil"/>
                    <w:tr2bl w:val="nil"/>
                  </w:tcBorders>
                  <w:noWrap w:val="0"/>
                  <w:vAlign w:val="center"/>
                </w:tcPr>
                <w:p w14:paraId="672CF8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4</w:t>
                  </w:r>
                </w:p>
              </w:tc>
            </w:tr>
            <w:tr w14:paraId="7A366C5C">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93" w:type="pct"/>
                  <w:tcBorders>
                    <w:tl2br w:val="nil"/>
                    <w:tr2bl w:val="nil"/>
                  </w:tcBorders>
                  <w:noWrap w:val="0"/>
                  <w:vAlign w:val="center"/>
                </w:tcPr>
                <w:p w14:paraId="77A4BD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4</w:t>
                  </w:r>
                </w:p>
              </w:tc>
              <w:tc>
                <w:tcPr>
                  <w:tcW w:w="1658" w:type="pct"/>
                  <w:tcBorders>
                    <w:tl2br w:val="nil"/>
                    <w:tr2bl w:val="nil"/>
                  </w:tcBorders>
                  <w:noWrap w:val="0"/>
                  <w:vAlign w:val="center"/>
                </w:tcPr>
                <w:p w14:paraId="76A039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站用电系统</w:t>
                  </w:r>
                </w:p>
              </w:tc>
              <w:tc>
                <w:tcPr>
                  <w:tcW w:w="674" w:type="pct"/>
                  <w:tcBorders>
                    <w:tl2br w:val="nil"/>
                    <w:tr2bl w:val="nil"/>
                  </w:tcBorders>
                  <w:noWrap w:val="0"/>
                  <w:vAlign w:val="center"/>
                </w:tcPr>
                <w:p w14:paraId="4CEDD8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8"/>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套</w:t>
                  </w:r>
                </w:p>
              </w:tc>
              <w:tc>
                <w:tcPr>
                  <w:tcW w:w="1973" w:type="pct"/>
                  <w:tcBorders>
                    <w:tl2br w:val="nil"/>
                    <w:tr2bl w:val="nil"/>
                  </w:tcBorders>
                  <w:noWrap w:val="0"/>
                  <w:vAlign w:val="center"/>
                </w:tcPr>
                <w:p w14:paraId="62BA46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1</w:t>
                  </w:r>
                </w:p>
              </w:tc>
            </w:tr>
            <w:tr w14:paraId="21EAB235">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93" w:type="pct"/>
                  <w:tcBorders>
                    <w:tl2br w:val="nil"/>
                    <w:tr2bl w:val="nil"/>
                  </w:tcBorders>
                  <w:noWrap w:val="0"/>
                  <w:vAlign w:val="center"/>
                </w:tcPr>
                <w:p w14:paraId="6BC2DA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5</w:t>
                  </w:r>
                </w:p>
              </w:tc>
              <w:tc>
                <w:tcPr>
                  <w:tcW w:w="1658" w:type="pct"/>
                  <w:tcBorders>
                    <w:tl2br w:val="nil"/>
                    <w:tr2bl w:val="nil"/>
                  </w:tcBorders>
                  <w:noWrap w:val="0"/>
                  <w:vAlign w:val="center"/>
                </w:tcPr>
                <w:p w14:paraId="1F13DD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防雷接地</w:t>
                  </w:r>
                </w:p>
              </w:tc>
              <w:tc>
                <w:tcPr>
                  <w:tcW w:w="674" w:type="pct"/>
                  <w:tcBorders>
                    <w:tl2br w:val="nil"/>
                    <w:tr2bl w:val="nil"/>
                  </w:tcBorders>
                  <w:noWrap w:val="0"/>
                  <w:vAlign w:val="center"/>
                </w:tcPr>
                <w:p w14:paraId="2B53EC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8"/>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套</w:t>
                  </w:r>
                </w:p>
              </w:tc>
              <w:tc>
                <w:tcPr>
                  <w:tcW w:w="1973" w:type="pct"/>
                  <w:tcBorders>
                    <w:tl2br w:val="nil"/>
                    <w:tr2bl w:val="nil"/>
                  </w:tcBorders>
                  <w:noWrap w:val="0"/>
                  <w:vAlign w:val="center"/>
                </w:tcPr>
                <w:p w14:paraId="6A20D8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1</w:t>
                  </w:r>
                </w:p>
              </w:tc>
            </w:tr>
            <w:tr w14:paraId="481355F3">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93" w:type="pct"/>
                  <w:tcBorders>
                    <w:tl2br w:val="nil"/>
                    <w:tr2bl w:val="nil"/>
                  </w:tcBorders>
                  <w:noWrap w:val="0"/>
                  <w:vAlign w:val="center"/>
                </w:tcPr>
                <w:p w14:paraId="6927D2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8"/>
                      <w:sz w:val="21"/>
                      <w:szCs w:val="21"/>
                      <w:highlight w:val="none"/>
                      <w:lang w:val="en-US" w:eastAsia="zh-CN"/>
                    </w:rPr>
                  </w:pPr>
                  <w:r>
                    <w:rPr>
                      <w:rFonts w:hint="eastAsia" w:ascii="Times New Roman" w:hAnsi="Times New Roman" w:eastAsia="宋体" w:cs="Times New Roman"/>
                      <w:b/>
                      <w:bCs/>
                      <w:color w:val="auto"/>
                      <w:spacing w:val="-8"/>
                      <w:sz w:val="21"/>
                      <w:szCs w:val="21"/>
                      <w:highlight w:val="none"/>
                      <w:lang w:val="en-US" w:eastAsia="zh-CN"/>
                    </w:rPr>
                    <w:t>三</w:t>
                  </w:r>
                </w:p>
              </w:tc>
              <w:tc>
                <w:tcPr>
                  <w:tcW w:w="1658" w:type="pct"/>
                  <w:tcBorders>
                    <w:tl2br w:val="nil"/>
                    <w:tr2bl w:val="nil"/>
                  </w:tcBorders>
                  <w:noWrap w:val="0"/>
                  <w:vAlign w:val="center"/>
                </w:tcPr>
                <w:p w14:paraId="5A32AE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8"/>
                      <w:sz w:val="21"/>
                      <w:szCs w:val="21"/>
                      <w:highlight w:val="none"/>
                      <w:lang w:val="en-US" w:eastAsia="zh-CN"/>
                    </w:rPr>
                  </w:pPr>
                  <w:r>
                    <w:rPr>
                      <w:rFonts w:hint="eastAsia" w:ascii="Times New Roman" w:hAnsi="Times New Roman" w:eastAsia="宋体" w:cs="Times New Roman"/>
                      <w:b/>
                      <w:bCs/>
                      <w:color w:val="auto"/>
                      <w:spacing w:val="-8"/>
                      <w:sz w:val="21"/>
                      <w:szCs w:val="21"/>
                      <w:highlight w:val="none"/>
                      <w:lang w:val="en-US" w:eastAsia="zh-CN"/>
                    </w:rPr>
                    <w:t>接线形式</w:t>
                  </w:r>
                </w:p>
              </w:tc>
              <w:tc>
                <w:tcPr>
                  <w:tcW w:w="674" w:type="pct"/>
                  <w:tcBorders>
                    <w:tl2br w:val="nil"/>
                    <w:tr2bl w:val="nil"/>
                  </w:tcBorders>
                  <w:noWrap w:val="0"/>
                  <w:vAlign w:val="center"/>
                </w:tcPr>
                <w:p w14:paraId="3E728A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8"/>
                      <w:sz w:val="21"/>
                      <w:szCs w:val="21"/>
                      <w:highlight w:val="none"/>
                      <w:lang w:val="en-US" w:eastAsia="zh-CN"/>
                    </w:rPr>
                  </w:pPr>
                </w:p>
              </w:tc>
              <w:tc>
                <w:tcPr>
                  <w:tcW w:w="1973" w:type="pct"/>
                  <w:tcBorders>
                    <w:tl2br w:val="nil"/>
                    <w:tr2bl w:val="nil"/>
                  </w:tcBorders>
                  <w:noWrap w:val="0"/>
                  <w:vAlign w:val="center"/>
                </w:tcPr>
                <w:p w14:paraId="43CC17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8"/>
                      <w:sz w:val="21"/>
                      <w:szCs w:val="21"/>
                      <w:highlight w:val="none"/>
                      <w:lang w:val="en-US" w:eastAsia="zh-CN"/>
                    </w:rPr>
                  </w:pPr>
                </w:p>
              </w:tc>
            </w:tr>
            <w:tr w14:paraId="5F5A4409">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93" w:type="pct"/>
                  <w:tcBorders>
                    <w:tl2br w:val="nil"/>
                    <w:tr2bl w:val="nil"/>
                  </w:tcBorders>
                  <w:noWrap w:val="0"/>
                  <w:vAlign w:val="center"/>
                </w:tcPr>
                <w:p w14:paraId="5915CB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4.1</w:t>
                  </w:r>
                </w:p>
              </w:tc>
              <w:tc>
                <w:tcPr>
                  <w:tcW w:w="1658" w:type="pct"/>
                  <w:tcBorders>
                    <w:tl2br w:val="nil"/>
                    <w:tr2bl w:val="nil"/>
                  </w:tcBorders>
                  <w:noWrap w:val="0"/>
                  <w:vAlign w:val="center"/>
                </w:tcPr>
                <w:p w14:paraId="1F5492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储能回路</w:t>
                  </w:r>
                </w:p>
              </w:tc>
              <w:tc>
                <w:tcPr>
                  <w:tcW w:w="674" w:type="pct"/>
                  <w:tcBorders>
                    <w:tl2br w:val="nil"/>
                    <w:tr2bl w:val="nil"/>
                  </w:tcBorders>
                  <w:noWrap w:val="0"/>
                  <w:vAlign w:val="center"/>
                </w:tcPr>
                <w:p w14:paraId="723231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回</w:t>
                  </w:r>
                </w:p>
              </w:tc>
              <w:tc>
                <w:tcPr>
                  <w:tcW w:w="1973" w:type="pct"/>
                  <w:tcBorders>
                    <w:tl2br w:val="nil"/>
                    <w:tr2bl w:val="nil"/>
                  </w:tcBorders>
                  <w:noWrap w:val="0"/>
                  <w:vAlign w:val="center"/>
                </w:tcPr>
                <w:p w14:paraId="7137F4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15</w:t>
                  </w:r>
                </w:p>
              </w:tc>
            </w:tr>
            <w:tr w14:paraId="7D0CA074">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93" w:type="pct"/>
                  <w:tcBorders>
                    <w:tl2br w:val="nil"/>
                    <w:tr2bl w:val="nil"/>
                  </w:tcBorders>
                  <w:noWrap w:val="0"/>
                  <w:vAlign w:val="center"/>
                </w:tcPr>
                <w:p w14:paraId="3DEB2B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kern w:val="2"/>
                      <w:sz w:val="21"/>
                      <w:szCs w:val="21"/>
                      <w:highlight w:val="none"/>
                      <w:lang w:val="en-US" w:eastAsia="zh-CN" w:bidi="ar-SA"/>
                    </w:rPr>
                  </w:pPr>
                  <w:r>
                    <w:rPr>
                      <w:rFonts w:hint="default" w:ascii="Times New Roman" w:hAnsi="Times New Roman" w:eastAsia="宋体" w:cs="Times New Roman"/>
                      <w:color w:val="auto"/>
                      <w:spacing w:val="-8"/>
                      <w:sz w:val="21"/>
                      <w:szCs w:val="21"/>
                      <w:highlight w:val="none"/>
                      <w:lang w:val="en-US" w:eastAsia="zh-CN"/>
                    </w:rPr>
                    <w:t>4.2</w:t>
                  </w:r>
                </w:p>
              </w:tc>
              <w:tc>
                <w:tcPr>
                  <w:tcW w:w="1658" w:type="pct"/>
                  <w:tcBorders>
                    <w:tl2br w:val="nil"/>
                    <w:tr2bl w:val="nil"/>
                  </w:tcBorders>
                  <w:noWrap w:val="0"/>
                  <w:vAlign w:val="center"/>
                </w:tcPr>
                <w:p w14:paraId="269D41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kern w:val="2"/>
                      <w:sz w:val="21"/>
                      <w:szCs w:val="21"/>
                      <w:highlight w:val="none"/>
                      <w:lang w:val="en-US" w:eastAsia="zh-CN" w:bidi="ar-SA"/>
                    </w:rPr>
                  </w:pPr>
                  <w:r>
                    <w:rPr>
                      <w:rFonts w:hint="default" w:ascii="Times New Roman" w:hAnsi="Times New Roman" w:eastAsia="宋体" w:cs="Times New Roman"/>
                      <w:color w:val="auto"/>
                      <w:spacing w:val="-8"/>
                      <w:sz w:val="21"/>
                      <w:szCs w:val="21"/>
                      <w:highlight w:val="none"/>
                      <w:lang w:val="en-US" w:eastAsia="zh-CN"/>
                    </w:rPr>
                    <w:t>电压等级</w:t>
                  </w:r>
                </w:p>
              </w:tc>
              <w:tc>
                <w:tcPr>
                  <w:tcW w:w="674" w:type="pct"/>
                  <w:tcBorders>
                    <w:tl2br w:val="nil"/>
                    <w:tr2bl w:val="nil"/>
                  </w:tcBorders>
                  <w:noWrap w:val="0"/>
                  <w:vAlign w:val="center"/>
                </w:tcPr>
                <w:p w14:paraId="361D56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kern w:val="2"/>
                      <w:sz w:val="21"/>
                      <w:szCs w:val="21"/>
                      <w:highlight w:val="none"/>
                      <w:lang w:val="en-US" w:eastAsia="zh-CN" w:bidi="ar-SA"/>
                    </w:rPr>
                  </w:pPr>
                  <w:r>
                    <w:rPr>
                      <w:rFonts w:hint="default" w:ascii="Times New Roman" w:hAnsi="Times New Roman" w:eastAsia="宋体" w:cs="Times New Roman"/>
                      <w:color w:val="auto"/>
                      <w:spacing w:val="-8"/>
                      <w:sz w:val="21"/>
                      <w:szCs w:val="21"/>
                      <w:highlight w:val="none"/>
                      <w:lang w:val="en-US" w:eastAsia="zh-CN"/>
                    </w:rPr>
                    <w:t>kV</w:t>
                  </w:r>
                </w:p>
              </w:tc>
              <w:tc>
                <w:tcPr>
                  <w:tcW w:w="1973" w:type="pct"/>
                  <w:tcBorders>
                    <w:tl2br w:val="nil"/>
                    <w:tr2bl w:val="nil"/>
                  </w:tcBorders>
                  <w:noWrap w:val="0"/>
                  <w:vAlign w:val="center"/>
                </w:tcPr>
                <w:p w14:paraId="3AD0D9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kern w:val="2"/>
                      <w:sz w:val="21"/>
                      <w:szCs w:val="21"/>
                      <w:highlight w:val="none"/>
                      <w:lang w:val="en-US" w:eastAsia="zh-CN" w:bidi="ar-SA"/>
                    </w:rPr>
                  </w:pPr>
                  <w:r>
                    <w:rPr>
                      <w:rFonts w:hint="default" w:ascii="Times New Roman" w:hAnsi="Times New Roman" w:eastAsia="宋体" w:cs="Times New Roman"/>
                      <w:color w:val="auto"/>
                      <w:spacing w:val="-8"/>
                      <w:sz w:val="21"/>
                      <w:szCs w:val="21"/>
                      <w:highlight w:val="none"/>
                      <w:lang w:val="en-US" w:eastAsia="zh-CN"/>
                    </w:rPr>
                    <w:t>35</w:t>
                  </w:r>
                </w:p>
              </w:tc>
            </w:tr>
            <w:tr w14:paraId="0B473306">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93" w:type="pct"/>
                  <w:tcBorders>
                    <w:tl2br w:val="nil"/>
                    <w:tr2bl w:val="nil"/>
                  </w:tcBorders>
                  <w:noWrap w:val="0"/>
                  <w:vAlign w:val="center"/>
                </w:tcPr>
                <w:p w14:paraId="2A5EEB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8"/>
                      <w:sz w:val="21"/>
                      <w:szCs w:val="21"/>
                      <w:highlight w:val="none"/>
                      <w:lang w:val="en-US" w:eastAsia="zh-CN"/>
                    </w:rPr>
                  </w:pPr>
                  <w:r>
                    <w:rPr>
                      <w:rFonts w:hint="eastAsia" w:ascii="Times New Roman" w:hAnsi="Times New Roman" w:eastAsia="宋体" w:cs="Times New Roman"/>
                      <w:b/>
                      <w:bCs/>
                      <w:color w:val="auto"/>
                      <w:spacing w:val="-8"/>
                      <w:sz w:val="21"/>
                      <w:szCs w:val="21"/>
                      <w:highlight w:val="none"/>
                      <w:lang w:val="en-US" w:eastAsia="zh-CN"/>
                    </w:rPr>
                    <w:t>四</w:t>
                  </w:r>
                </w:p>
              </w:tc>
              <w:tc>
                <w:tcPr>
                  <w:tcW w:w="1658" w:type="pct"/>
                  <w:tcBorders>
                    <w:tl2br w:val="nil"/>
                    <w:tr2bl w:val="nil"/>
                  </w:tcBorders>
                  <w:noWrap w:val="0"/>
                  <w:vAlign w:val="center"/>
                </w:tcPr>
                <w:p w14:paraId="45FA69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8"/>
                      <w:sz w:val="21"/>
                      <w:szCs w:val="21"/>
                      <w:highlight w:val="none"/>
                      <w:lang w:val="en-US" w:eastAsia="zh-CN"/>
                    </w:rPr>
                  </w:pPr>
                  <w:r>
                    <w:rPr>
                      <w:rFonts w:hint="default" w:ascii="Times New Roman" w:hAnsi="Times New Roman" w:eastAsia="宋体" w:cs="Times New Roman"/>
                      <w:b/>
                      <w:bCs/>
                      <w:color w:val="auto"/>
                      <w:spacing w:val="-8"/>
                      <w:sz w:val="21"/>
                      <w:szCs w:val="21"/>
                      <w:highlight w:val="none"/>
                      <w:lang w:val="en-US" w:eastAsia="zh-CN"/>
                    </w:rPr>
                    <w:t>储能系统</w:t>
                  </w:r>
                </w:p>
              </w:tc>
              <w:tc>
                <w:tcPr>
                  <w:tcW w:w="674" w:type="pct"/>
                  <w:tcBorders>
                    <w:tl2br w:val="nil"/>
                    <w:tr2bl w:val="nil"/>
                  </w:tcBorders>
                  <w:noWrap w:val="0"/>
                  <w:vAlign w:val="center"/>
                </w:tcPr>
                <w:p w14:paraId="23470D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lang w:val="en-US" w:eastAsia="zh-CN"/>
                    </w:rPr>
                  </w:pPr>
                </w:p>
              </w:tc>
              <w:tc>
                <w:tcPr>
                  <w:tcW w:w="1973" w:type="pct"/>
                  <w:tcBorders>
                    <w:tl2br w:val="nil"/>
                    <w:tr2bl w:val="nil"/>
                  </w:tcBorders>
                  <w:noWrap w:val="0"/>
                  <w:vAlign w:val="center"/>
                </w:tcPr>
                <w:p w14:paraId="16E366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lang w:val="en-US" w:eastAsia="zh-CN"/>
                    </w:rPr>
                  </w:pPr>
                </w:p>
              </w:tc>
            </w:tr>
            <w:tr w14:paraId="0EA4FDA9">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93" w:type="pct"/>
                  <w:tcBorders>
                    <w:tl2br w:val="nil"/>
                    <w:tr2bl w:val="nil"/>
                  </w:tcBorders>
                  <w:noWrap w:val="0"/>
                  <w:vAlign w:val="center"/>
                </w:tcPr>
                <w:p w14:paraId="79F99D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1</w:t>
                  </w:r>
                </w:p>
              </w:tc>
              <w:tc>
                <w:tcPr>
                  <w:tcW w:w="1658" w:type="pct"/>
                  <w:tcBorders>
                    <w:tl2br w:val="nil"/>
                    <w:tr2bl w:val="nil"/>
                  </w:tcBorders>
                  <w:noWrap w:val="0"/>
                  <w:vAlign w:val="center"/>
                </w:tcPr>
                <w:p w14:paraId="747E1E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8"/>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储能系统（磷酸铁锂电</w:t>
                  </w:r>
                </w:p>
                <w:p w14:paraId="77B524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池）370MW/1484.44MWh</w:t>
                  </w:r>
                </w:p>
              </w:tc>
              <w:tc>
                <w:tcPr>
                  <w:tcW w:w="674" w:type="pct"/>
                  <w:tcBorders>
                    <w:tl2br w:val="nil"/>
                    <w:tr2bl w:val="nil"/>
                  </w:tcBorders>
                  <w:noWrap w:val="0"/>
                  <w:vAlign w:val="center"/>
                </w:tcPr>
                <w:p w14:paraId="6D9F0D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default" w:ascii="Times New Roman" w:hAnsi="Times New Roman" w:eastAsia="宋体" w:cs="Times New Roman"/>
                      <w:color w:val="auto"/>
                      <w:spacing w:val="-8"/>
                      <w:sz w:val="21"/>
                      <w:szCs w:val="21"/>
                      <w:highlight w:val="none"/>
                      <w:lang w:val="en-US" w:eastAsia="zh-CN"/>
                    </w:rPr>
                    <w:t>套</w:t>
                  </w:r>
                </w:p>
              </w:tc>
              <w:tc>
                <w:tcPr>
                  <w:tcW w:w="1973" w:type="pct"/>
                  <w:tcBorders>
                    <w:tl2br w:val="nil"/>
                    <w:tr2bl w:val="nil"/>
                  </w:tcBorders>
                  <w:noWrap w:val="0"/>
                  <w:vAlign w:val="center"/>
                </w:tcPr>
                <w:p w14:paraId="7BA8CE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1</w:t>
                  </w:r>
                </w:p>
              </w:tc>
            </w:tr>
            <w:tr w14:paraId="045935BD">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93" w:type="pct"/>
                  <w:tcBorders>
                    <w:tl2br w:val="nil"/>
                    <w:tr2bl w:val="nil"/>
                  </w:tcBorders>
                  <w:noWrap w:val="0"/>
                  <w:vAlign w:val="center"/>
                </w:tcPr>
                <w:p w14:paraId="52FCD2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2</w:t>
                  </w:r>
                </w:p>
              </w:tc>
              <w:tc>
                <w:tcPr>
                  <w:tcW w:w="1658" w:type="pct"/>
                  <w:tcBorders>
                    <w:tl2br w:val="nil"/>
                    <w:tr2bl w:val="nil"/>
                  </w:tcBorders>
                  <w:noWrap w:val="0"/>
                  <w:vAlign w:val="center"/>
                </w:tcPr>
                <w:p w14:paraId="40BDE8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储能系统（全钒液流电池）</w:t>
                  </w:r>
                </w:p>
                <w:p w14:paraId="699B8E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24MW/96MWh</w:t>
                  </w:r>
                </w:p>
              </w:tc>
              <w:tc>
                <w:tcPr>
                  <w:tcW w:w="674" w:type="pct"/>
                  <w:tcBorders>
                    <w:tl2br w:val="nil"/>
                    <w:tr2bl w:val="nil"/>
                  </w:tcBorders>
                  <w:noWrap w:val="0"/>
                  <w:vAlign w:val="center"/>
                </w:tcPr>
                <w:p w14:paraId="30B02D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default" w:ascii="Times New Roman" w:hAnsi="Times New Roman" w:eastAsia="宋体" w:cs="Times New Roman"/>
                      <w:color w:val="auto"/>
                      <w:spacing w:val="-8"/>
                      <w:sz w:val="21"/>
                      <w:szCs w:val="21"/>
                      <w:highlight w:val="none"/>
                      <w:lang w:val="en-US" w:eastAsia="zh-CN"/>
                    </w:rPr>
                    <w:t>套</w:t>
                  </w:r>
                </w:p>
              </w:tc>
              <w:tc>
                <w:tcPr>
                  <w:tcW w:w="1973" w:type="pct"/>
                  <w:tcBorders>
                    <w:tl2br w:val="nil"/>
                    <w:tr2bl w:val="nil"/>
                  </w:tcBorders>
                  <w:noWrap w:val="0"/>
                  <w:vAlign w:val="center"/>
                </w:tcPr>
                <w:p w14:paraId="13E740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8"/>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1</w:t>
                  </w:r>
                </w:p>
              </w:tc>
            </w:tr>
            <w:tr w14:paraId="458B5B5B">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93" w:type="pct"/>
                  <w:tcBorders>
                    <w:tl2br w:val="nil"/>
                    <w:tr2bl w:val="nil"/>
                  </w:tcBorders>
                  <w:noWrap w:val="0"/>
                  <w:vAlign w:val="center"/>
                </w:tcPr>
                <w:p w14:paraId="65F87E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3</w:t>
                  </w:r>
                </w:p>
              </w:tc>
              <w:tc>
                <w:tcPr>
                  <w:tcW w:w="1658" w:type="pct"/>
                  <w:tcBorders>
                    <w:tl2br w:val="nil"/>
                    <w:tr2bl w:val="nil"/>
                  </w:tcBorders>
                  <w:noWrap w:val="0"/>
                  <w:vAlign w:val="center"/>
                </w:tcPr>
                <w:p w14:paraId="513FFD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8"/>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储能系统（钠离子电</w:t>
                  </w:r>
                </w:p>
                <w:p w14:paraId="3D3079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池）6MW/21.9MWh</w:t>
                  </w:r>
                </w:p>
              </w:tc>
              <w:tc>
                <w:tcPr>
                  <w:tcW w:w="674" w:type="pct"/>
                  <w:tcBorders>
                    <w:tl2br w:val="nil"/>
                    <w:tr2bl w:val="nil"/>
                  </w:tcBorders>
                  <w:noWrap w:val="0"/>
                  <w:vAlign w:val="center"/>
                </w:tcPr>
                <w:p w14:paraId="4D73E3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default" w:ascii="Times New Roman" w:hAnsi="Times New Roman" w:eastAsia="宋体" w:cs="Times New Roman"/>
                      <w:color w:val="auto"/>
                      <w:spacing w:val="-8"/>
                      <w:sz w:val="21"/>
                      <w:szCs w:val="21"/>
                      <w:highlight w:val="none"/>
                      <w:lang w:val="en-US" w:eastAsia="zh-CN"/>
                    </w:rPr>
                    <w:t>套</w:t>
                  </w:r>
                </w:p>
              </w:tc>
              <w:tc>
                <w:tcPr>
                  <w:tcW w:w="1973" w:type="pct"/>
                  <w:tcBorders>
                    <w:tl2br w:val="nil"/>
                    <w:tr2bl w:val="nil"/>
                  </w:tcBorders>
                  <w:noWrap w:val="0"/>
                  <w:vAlign w:val="center"/>
                </w:tcPr>
                <w:p w14:paraId="77B664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8"/>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1</w:t>
                  </w:r>
                </w:p>
              </w:tc>
            </w:tr>
          </w:tbl>
          <w:p w14:paraId="7632E4E1">
            <w:pPr>
              <w:pStyle w:val="16"/>
              <w:keepNext w:val="0"/>
              <w:keepLines w:val="0"/>
              <w:pageBreakBefore w:val="0"/>
              <w:widowControl w:val="0"/>
              <w:wordWrap/>
              <w:topLinePunct w:val="0"/>
              <w:bidi w:val="0"/>
              <w:adjustRightInd w:val="0"/>
              <w:snapToGrid w:val="0"/>
              <w:spacing w:before="0" w:beforeAutospacing="0" w:after="0" w:afterAutospacing="0"/>
              <w:jc w:val="both"/>
              <w:rPr>
                <w:rFonts w:hint="default" w:ascii="Times New Roman" w:hAnsi="Times New Roman" w:cs="Times New Roman"/>
                <w:b/>
                <w:color w:val="auto"/>
                <w:sz w:val="21"/>
                <w:szCs w:val="21"/>
                <w:highlight w:val="none"/>
              </w:rPr>
            </w:pPr>
          </w:p>
          <w:p w14:paraId="7FAF22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w:t>
            </w:r>
            <w:r>
              <w:rPr>
                <w:rFonts w:hint="eastAsia"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val="en-US" w:eastAsia="zh-CN"/>
              </w:rPr>
              <w:t>项目占地</w:t>
            </w:r>
          </w:p>
          <w:p w14:paraId="2F6A9BB8">
            <w:pPr>
              <w:keepNext w:val="0"/>
              <w:keepLines w:val="0"/>
              <w:pageBreakBefore w:val="0"/>
              <w:widowControl w:val="0"/>
              <w:wordWrap/>
              <w:topLinePunct w:val="0"/>
              <w:bidi w:val="0"/>
              <w:spacing w:line="360" w:lineRule="auto"/>
              <w:ind w:firstLine="480" w:firstLineChars="200"/>
              <w:jc w:val="both"/>
              <w:rPr>
                <w:rFonts w:hint="eastAsia" w:eastAsia="宋体" w:cs="Times New Roman"/>
                <w:bCs/>
                <w:color w:val="auto"/>
                <w:sz w:val="24"/>
                <w:szCs w:val="24"/>
                <w:highlight w:val="none"/>
                <w:lang w:val="en-US" w:eastAsia="zh-CN"/>
              </w:rPr>
            </w:pPr>
            <w:r>
              <w:rPr>
                <w:rFonts w:hint="eastAsia" w:eastAsia="宋体" w:cs="Times New Roman"/>
                <w:bCs/>
                <w:color w:val="auto"/>
                <w:sz w:val="24"/>
                <w:szCs w:val="24"/>
                <w:highlight w:val="none"/>
                <w:lang w:val="en-US" w:eastAsia="zh-CN"/>
              </w:rPr>
              <w:t>储能电站围墙内面积为91134m</w:t>
            </w:r>
            <w:r>
              <w:rPr>
                <w:rFonts w:hint="eastAsia" w:eastAsia="宋体" w:cs="Times New Roman"/>
                <w:bCs/>
                <w:color w:val="auto"/>
                <w:sz w:val="24"/>
                <w:szCs w:val="24"/>
                <w:highlight w:val="none"/>
                <w:vertAlign w:val="superscript"/>
                <w:lang w:val="en-US" w:eastAsia="zh-CN"/>
              </w:rPr>
              <w:t>2</w:t>
            </w:r>
            <w:r>
              <w:rPr>
                <w:rFonts w:hint="eastAsia" w:eastAsia="宋体" w:cs="Times New Roman"/>
                <w:bCs/>
                <w:color w:val="auto"/>
                <w:sz w:val="24"/>
                <w:szCs w:val="24"/>
                <w:highlight w:val="none"/>
                <w:lang w:val="en-US" w:eastAsia="zh-CN"/>
              </w:rPr>
              <w:t>，为永久占地。</w:t>
            </w:r>
          </w:p>
          <w:p w14:paraId="34025141">
            <w:pPr>
              <w:keepNext w:val="0"/>
              <w:keepLines w:val="0"/>
              <w:pageBreakBefore w:val="0"/>
              <w:widowControl w:val="0"/>
              <w:wordWrap/>
              <w:topLinePunct w:val="0"/>
              <w:bidi w:val="0"/>
              <w:spacing w:line="360" w:lineRule="auto"/>
              <w:ind w:firstLine="480" w:firstLineChars="200"/>
              <w:jc w:val="both"/>
              <w:rPr>
                <w:rFonts w:hint="default" w:ascii="Times New Roman" w:hAnsi="Times New Roman" w:eastAsia="宋体" w:cs="Times New Roman"/>
                <w:bCs/>
                <w:color w:val="auto"/>
                <w:sz w:val="24"/>
                <w:szCs w:val="24"/>
                <w:highlight w:val="none"/>
                <w:lang w:val="en-US" w:eastAsia="zh-CN"/>
              </w:rPr>
            </w:pPr>
            <w:r>
              <w:rPr>
                <w:rFonts w:hint="eastAsia" w:eastAsia="宋体" w:cs="Times New Roman"/>
                <w:bCs/>
                <w:color w:val="auto"/>
                <w:sz w:val="24"/>
                <w:szCs w:val="24"/>
                <w:highlight w:val="none"/>
                <w:lang w:val="en-US" w:eastAsia="zh-CN"/>
              </w:rPr>
              <w:t>道路永久占地面积为1100m</w:t>
            </w:r>
            <w:r>
              <w:rPr>
                <w:rFonts w:hint="eastAsia" w:eastAsia="宋体" w:cs="Times New Roman"/>
                <w:bCs/>
                <w:color w:val="auto"/>
                <w:sz w:val="24"/>
                <w:szCs w:val="24"/>
                <w:highlight w:val="none"/>
                <w:vertAlign w:val="superscript"/>
                <w:lang w:val="en-US" w:eastAsia="zh-CN"/>
              </w:rPr>
              <w:t>2</w:t>
            </w:r>
            <w:r>
              <w:rPr>
                <w:rFonts w:hint="eastAsia" w:eastAsia="宋体" w:cs="Times New Roman"/>
                <w:bCs/>
                <w:color w:val="auto"/>
                <w:sz w:val="24"/>
                <w:szCs w:val="24"/>
                <w:highlight w:val="none"/>
                <w:lang w:val="en-US" w:eastAsia="zh-CN"/>
              </w:rPr>
              <w:t>，临时占地面积为200m</w:t>
            </w:r>
            <w:r>
              <w:rPr>
                <w:rFonts w:hint="eastAsia" w:eastAsia="宋体" w:cs="Times New Roman"/>
                <w:bCs/>
                <w:color w:val="auto"/>
                <w:sz w:val="24"/>
                <w:szCs w:val="24"/>
                <w:highlight w:val="none"/>
                <w:vertAlign w:val="superscript"/>
                <w:lang w:val="en-US" w:eastAsia="zh-CN"/>
              </w:rPr>
              <w:t>2</w:t>
            </w:r>
            <w:r>
              <w:rPr>
                <w:rFonts w:hint="default" w:ascii="Times New Roman" w:hAnsi="Times New Roman" w:eastAsia="宋体" w:cs="Times New Roman"/>
                <w:bCs/>
                <w:color w:val="auto"/>
                <w:sz w:val="24"/>
                <w:szCs w:val="24"/>
                <w:highlight w:val="none"/>
                <w:lang w:val="en-US" w:eastAsia="zh-CN"/>
              </w:rPr>
              <w:t>。</w:t>
            </w:r>
          </w:p>
          <w:p w14:paraId="6E61959B">
            <w:pPr>
              <w:keepNext w:val="0"/>
              <w:keepLines w:val="0"/>
              <w:pageBreakBefore w:val="0"/>
              <w:widowControl w:val="0"/>
              <w:wordWrap/>
              <w:topLinePunct w:val="0"/>
              <w:bidi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储能电站临时施工场地位于储能电站永久占地内，不新增临时占地。</w:t>
            </w:r>
          </w:p>
          <w:p w14:paraId="4438D59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w:t>
            </w:r>
            <w:r>
              <w:rPr>
                <w:rFonts w:hint="default" w:ascii="Times New Roman" w:hAnsi="Times New Roman" w:cs="Times New Roman"/>
                <w:b/>
                <w:bCs/>
                <w:color w:val="auto"/>
                <w:szCs w:val="21"/>
                <w:highlight w:val="none"/>
                <w:lang w:val="en-US" w:eastAsia="zh-CN"/>
              </w:rPr>
              <w:t>2-</w:t>
            </w:r>
            <w:r>
              <w:rPr>
                <w:rFonts w:hint="eastAsia" w:cs="Times New Roman"/>
                <w:b/>
                <w:bCs/>
                <w:color w:val="auto"/>
                <w:szCs w:val="21"/>
                <w:highlight w:val="none"/>
                <w:lang w:val="en-US" w:eastAsia="zh-CN"/>
              </w:rPr>
              <w:t>3</w:t>
            </w:r>
            <w:r>
              <w:rPr>
                <w:rFonts w:hint="default" w:ascii="Times New Roman" w:hAnsi="Times New Roman" w:cs="Times New Roman"/>
                <w:b/>
                <w:bCs/>
                <w:color w:val="auto"/>
                <w:szCs w:val="21"/>
                <w:highlight w:val="none"/>
              </w:rPr>
              <w:t xml:space="preserve">  工程占地面积汇总表</w:t>
            </w:r>
            <w:r>
              <w:rPr>
                <w:rFonts w:hint="default" w:ascii="Times New Roman" w:hAnsi="Times New Roman" w:cs="Times New Roman"/>
                <w:b/>
                <w:bCs/>
                <w:color w:val="auto"/>
                <w:szCs w:val="21"/>
                <w:highlight w:val="none"/>
                <w:lang w:val="en-US" w:eastAsia="zh-CN"/>
              </w:rPr>
              <w:t xml:space="preserve">   </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064"/>
              <w:gridCol w:w="1529"/>
              <w:gridCol w:w="1717"/>
              <w:gridCol w:w="1865"/>
              <w:gridCol w:w="1744"/>
            </w:tblGrid>
            <w:tr w14:paraId="5E2AD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53" w:hRule="atLeast"/>
                <w:jc w:val="center"/>
              </w:trPr>
              <w:tc>
                <w:tcPr>
                  <w:tcW w:w="2721" w:type="pct"/>
                  <w:gridSpan w:val="3"/>
                  <w:noWrap w:val="0"/>
                  <w:vAlign w:val="center"/>
                </w:tcPr>
                <w:p w14:paraId="73991523">
                  <w:pPr>
                    <w:keepNext w:val="0"/>
                    <w:keepLines w:val="0"/>
                    <w:pageBreakBefore w:val="0"/>
                    <w:widowControl w:val="0"/>
                    <w:wordWrap/>
                    <w:topLinePunct w:val="0"/>
                    <w:bidi w:val="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项目</w:t>
                  </w:r>
                </w:p>
              </w:tc>
              <w:tc>
                <w:tcPr>
                  <w:tcW w:w="1177" w:type="pct"/>
                  <w:noWrap w:val="0"/>
                  <w:vAlign w:val="center"/>
                </w:tcPr>
                <w:p w14:paraId="09D0C309">
                  <w:pPr>
                    <w:keepNext w:val="0"/>
                    <w:keepLines w:val="0"/>
                    <w:pageBreakBefore w:val="0"/>
                    <w:widowControl w:val="0"/>
                    <w:wordWrap/>
                    <w:topLinePunct w:val="0"/>
                    <w:bidi w:val="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占地类型</w:t>
                  </w:r>
                </w:p>
              </w:tc>
              <w:tc>
                <w:tcPr>
                  <w:tcW w:w="1101" w:type="pct"/>
                  <w:noWrap w:val="0"/>
                  <w:tcMar>
                    <w:top w:w="0" w:type="dxa"/>
                    <w:left w:w="108" w:type="dxa"/>
                    <w:bottom w:w="0" w:type="dxa"/>
                    <w:right w:w="108" w:type="dxa"/>
                  </w:tcMar>
                  <w:vAlign w:val="center"/>
                </w:tcPr>
                <w:p w14:paraId="51676445">
                  <w:pPr>
                    <w:keepNext w:val="0"/>
                    <w:keepLines w:val="0"/>
                    <w:pageBreakBefore w:val="0"/>
                    <w:widowControl w:val="0"/>
                    <w:wordWrap/>
                    <w:topLinePunct w:val="0"/>
                    <w:bidi w:val="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lang w:val="en-US" w:eastAsia="zh-CN"/>
                    </w:rPr>
                    <w:t>面积</w:t>
                  </w:r>
                  <w:r>
                    <w:rPr>
                      <w:rFonts w:hint="default" w:ascii="Times New Roman" w:hAnsi="Times New Roman" w:cs="Times New Roman"/>
                      <w:b w:val="0"/>
                      <w:bCs w:val="0"/>
                      <w:color w:val="auto"/>
                      <w:sz w:val="21"/>
                      <w:szCs w:val="21"/>
                      <w:highlight w:val="none"/>
                    </w:rPr>
                    <w:t>m</w:t>
                  </w:r>
                  <w:r>
                    <w:rPr>
                      <w:rFonts w:hint="default" w:ascii="Times New Roman" w:hAnsi="Times New Roman" w:cs="Times New Roman"/>
                      <w:b w:val="0"/>
                      <w:bCs w:val="0"/>
                      <w:color w:val="auto"/>
                      <w:sz w:val="21"/>
                      <w:szCs w:val="21"/>
                      <w:highlight w:val="none"/>
                      <w:vertAlign w:val="superscript"/>
                    </w:rPr>
                    <w:t>2</w:t>
                  </w:r>
                </w:p>
              </w:tc>
            </w:tr>
            <w:tr w14:paraId="5814E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72" w:type="pct"/>
                  <w:vMerge w:val="restart"/>
                  <w:noWrap w:val="0"/>
                  <w:vAlign w:val="center"/>
                </w:tcPr>
                <w:p w14:paraId="3499E270">
                  <w:pPr>
                    <w:keepNext w:val="0"/>
                    <w:keepLines w:val="0"/>
                    <w:pageBreakBefore w:val="0"/>
                    <w:widowControl w:val="0"/>
                    <w:wordWrap/>
                    <w:topLinePunct w:val="0"/>
                    <w:bidi w:val="0"/>
                    <w:jc w:val="center"/>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储能电站</w:t>
                  </w:r>
                </w:p>
              </w:tc>
              <w:tc>
                <w:tcPr>
                  <w:tcW w:w="965" w:type="pct"/>
                  <w:vMerge w:val="restart"/>
                  <w:noWrap w:val="0"/>
                  <w:vAlign w:val="center"/>
                </w:tcPr>
                <w:p w14:paraId="29550CA4">
                  <w:pPr>
                    <w:keepNext w:val="0"/>
                    <w:keepLines w:val="0"/>
                    <w:pageBreakBefore w:val="0"/>
                    <w:widowControl w:val="0"/>
                    <w:wordWrap/>
                    <w:topLinePunct w:val="0"/>
                    <w:bidi w:val="0"/>
                    <w:jc w:val="center"/>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永久占地</w:t>
                  </w:r>
                </w:p>
              </w:tc>
              <w:tc>
                <w:tcPr>
                  <w:tcW w:w="1083" w:type="pct"/>
                  <w:noWrap w:val="0"/>
                  <w:vAlign w:val="center"/>
                </w:tcPr>
                <w:p w14:paraId="2E7B7C55">
                  <w:pPr>
                    <w:keepNext w:val="0"/>
                    <w:keepLines w:val="0"/>
                    <w:pageBreakBefore w:val="0"/>
                    <w:widowControl w:val="0"/>
                    <w:wordWrap/>
                    <w:topLinePunct w:val="0"/>
                    <w:bidi w:val="0"/>
                    <w:jc w:val="center"/>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储能电站</w:t>
                  </w:r>
                </w:p>
              </w:tc>
              <w:tc>
                <w:tcPr>
                  <w:tcW w:w="1177" w:type="pct"/>
                  <w:noWrap w:val="0"/>
                  <w:tcMar>
                    <w:top w:w="0" w:type="dxa"/>
                    <w:left w:w="108" w:type="dxa"/>
                    <w:bottom w:w="0" w:type="dxa"/>
                    <w:right w:w="108" w:type="dxa"/>
                  </w:tcMar>
                  <w:vAlign w:val="center"/>
                </w:tcPr>
                <w:p w14:paraId="660301E6">
                  <w:pPr>
                    <w:keepNext w:val="0"/>
                    <w:keepLines w:val="0"/>
                    <w:pageBreakBefore w:val="0"/>
                    <w:widowControl w:val="0"/>
                    <w:wordWrap/>
                    <w:topLinePunct w:val="0"/>
                    <w:bidi w:val="0"/>
                    <w:jc w:val="center"/>
                    <w:rPr>
                      <w:rFonts w:hint="default" w:ascii="Times New Roman" w:hAnsi="Times New Roman" w:eastAsia="宋体" w:cs="Times New Roman"/>
                      <w:b w:val="0"/>
                      <w:bCs w:val="0"/>
                      <w:color w:val="auto"/>
                      <w:kern w:val="0"/>
                      <w:sz w:val="21"/>
                      <w:szCs w:val="21"/>
                      <w:highlight w:val="none"/>
                      <w:lang w:val="en-US" w:eastAsia="zh-CN"/>
                    </w:rPr>
                  </w:pPr>
                  <w:r>
                    <w:rPr>
                      <w:rFonts w:hint="eastAsia" w:eastAsia="宋体" w:cs="Times New Roman"/>
                      <w:b w:val="0"/>
                      <w:bCs w:val="0"/>
                      <w:color w:val="auto"/>
                      <w:kern w:val="0"/>
                      <w:sz w:val="21"/>
                      <w:szCs w:val="21"/>
                      <w:highlight w:val="none"/>
                      <w:lang w:val="en-US" w:eastAsia="zh-CN"/>
                    </w:rPr>
                    <w:t>工业用地</w:t>
                  </w:r>
                </w:p>
              </w:tc>
              <w:tc>
                <w:tcPr>
                  <w:tcW w:w="1101" w:type="pct"/>
                  <w:noWrap w:val="0"/>
                  <w:tcMar>
                    <w:top w:w="0" w:type="dxa"/>
                    <w:left w:w="108" w:type="dxa"/>
                    <w:bottom w:w="0" w:type="dxa"/>
                    <w:right w:w="108" w:type="dxa"/>
                  </w:tcMar>
                  <w:vAlign w:val="center"/>
                </w:tcPr>
                <w:p w14:paraId="2AA15FC0">
                  <w:pPr>
                    <w:keepNext w:val="0"/>
                    <w:keepLines w:val="0"/>
                    <w:pageBreakBefore w:val="0"/>
                    <w:widowControl w:val="0"/>
                    <w:wordWrap/>
                    <w:topLinePunct w:val="0"/>
                    <w:bidi w:val="0"/>
                    <w:jc w:val="center"/>
                    <w:rPr>
                      <w:rFonts w:hint="default" w:ascii="Times New Roman" w:hAnsi="Times New Roman" w:eastAsia="宋体" w:cs="Times New Roman"/>
                      <w:b w:val="0"/>
                      <w:bCs w:val="0"/>
                      <w:color w:val="auto"/>
                      <w:kern w:val="0"/>
                      <w:sz w:val="21"/>
                      <w:szCs w:val="21"/>
                      <w:highlight w:val="none"/>
                      <w:lang w:val="en-US" w:eastAsia="zh-CN"/>
                    </w:rPr>
                  </w:pPr>
                  <w:r>
                    <w:rPr>
                      <w:rFonts w:hint="eastAsia" w:eastAsia="宋体" w:cs="Times New Roman"/>
                      <w:b w:val="0"/>
                      <w:bCs w:val="0"/>
                      <w:color w:val="auto"/>
                      <w:kern w:val="0"/>
                      <w:sz w:val="21"/>
                      <w:szCs w:val="21"/>
                      <w:highlight w:val="none"/>
                      <w:lang w:val="en-US" w:eastAsia="zh-CN"/>
                    </w:rPr>
                    <w:t>91134</w:t>
                  </w:r>
                </w:p>
              </w:tc>
            </w:tr>
            <w:tr w14:paraId="5C007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72" w:type="pct"/>
                  <w:vMerge w:val="continue"/>
                  <w:noWrap w:val="0"/>
                  <w:vAlign w:val="center"/>
                </w:tcPr>
                <w:p w14:paraId="0359A7D8">
                  <w:pPr>
                    <w:keepNext w:val="0"/>
                    <w:keepLines w:val="0"/>
                    <w:pageBreakBefore w:val="0"/>
                    <w:widowControl w:val="0"/>
                    <w:wordWrap/>
                    <w:topLinePunct w:val="0"/>
                    <w:bidi w:val="0"/>
                    <w:jc w:val="center"/>
                    <w:rPr>
                      <w:rFonts w:hint="eastAsia" w:cs="Times New Roman"/>
                      <w:b w:val="0"/>
                      <w:bCs w:val="0"/>
                      <w:color w:val="auto"/>
                      <w:kern w:val="0"/>
                      <w:sz w:val="21"/>
                      <w:szCs w:val="21"/>
                      <w:highlight w:val="none"/>
                      <w:lang w:val="en-US" w:eastAsia="zh-CN"/>
                    </w:rPr>
                  </w:pPr>
                </w:p>
              </w:tc>
              <w:tc>
                <w:tcPr>
                  <w:tcW w:w="965" w:type="pct"/>
                  <w:vMerge w:val="continue"/>
                  <w:noWrap w:val="0"/>
                  <w:vAlign w:val="center"/>
                </w:tcPr>
                <w:p w14:paraId="38414467">
                  <w:pPr>
                    <w:keepNext w:val="0"/>
                    <w:keepLines w:val="0"/>
                    <w:pageBreakBefore w:val="0"/>
                    <w:widowControl w:val="0"/>
                    <w:wordWrap/>
                    <w:topLinePunct w:val="0"/>
                    <w:bidi w:val="0"/>
                    <w:jc w:val="center"/>
                    <w:rPr>
                      <w:rFonts w:hint="eastAsia" w:cs="Times New Roman"/>
                      <w:b w:val="0"/>
                      <w:bCs w:val="0"/>
                      <w:color w:val="auto"/>
                      <w:kern w:val="0"/>
                      <w:sz w:val="21"/>
                      <w:szCs w:val="21"/>
                      <w:highlight w:val="none"/>
                      <w:lang w:val="en-US" w:eastAsia="zh-CN"/>
                    </w:rPr>
                  </w:pPr>
                </w:p>
              </w:tc>
              <w:tc>
                <w:tcPr>
                  <w:tcW w:w="1083" w:type="pct"/>
                  <w:noWrap w:val="0"/>
                  <w:vAlign w:val="center"/>
                </w:tcPr>
                <w:p w14:paraId="10BAC6FF">
                  <w:pPr>
                    <w:keepNext w:val="0"/>
                    <w:keepLines w:val="0"/>
                    <w:pageBreakBefore w:val="0"/>
                    <w:widowControl w:val="0"/>
                    <w:wordWrap/>
                    <w:topLinePunct w:val="0"/>
                    <w:bidi w:val="0"/>
                    <w:jc w:val="both"/>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 xml:space="preserve">    进站道路</w:t>
                  </w:r>
                </w:p>
              </w:tc>
              <w:tc>
                <w:tcPr>
                  <w:tcW w:w="1177" w:type="pct"/>
                  <w:noWrap w:val="0"/>
                  <w:tcMar>
                    <w:top w:w="0" w:type="dxa"/>
                    <w:left w:w="108" w:type="dxa"/>
                    <w:bottom w:w="0" w:type="dxa"/>
                    <w:right w:w="108" w:type="dxa"/>
                  </w:tcMar>
                  <w:vAlign w:val="center"/>
                </w:tcPr>
                <w:p w14:paraId="5BF71E18">
                  <w:pPr>
                    <w:keepNext w:val="0"/>
                    <w:keepLines w:val="0"/>
                    <w:pageBreakBefore w:val="0"/>
                    <w:widowControl w:val="0"/>
                    <w:wordWrap/>
                    <w:topLinePunct w:val="0"/>
                    <w:bidi w:val="0"/>
                    <w:jc w:val="center"/>
                    <w:rPr>
                      <w:rFonts w:hint="eastAsia" w:eastAsia="宋体" w:cs="Times New Roman"/>
                      <w:b w:val="0"/>
                      <w:bCs w:val="0"/>
                      <w:color w:val="auto"/>
                      <w:kern w:val="0"/>
                      <w:sz w:val="21"/>
                      <w:szCs w:val="21"/>
                      <w:highlight w:val="none"/>
                      <w:lang w:val="en-US" w:eastAsia="zh-CN"/>
                    </w:rPr>
                  </w:pPr>
                  <w:r>
                    <w:rPr>
                      <w:rFonts w:hint="eastAsia" w:eastAsia="宋体" w:cs="Times New Roman"/>
                      <w:b w:val="0"/>
                      <w:bCs w:val="0"/>
                      <w:color w:val="auto"/>
                      <w:kern w:val="0"/>
                      <w:sz w:val="21"/>
                      <w:szCs w:val="21"/>
                      <w:highlight w:val="none"/>
                      <w:lang w:val="en-US" w:eastAsia="zh-CN"/>
                    </w:rPr>
                    <w:t>工业用地</w:t>
                  </w:r>
                </w:p>
              </w:tc>
              <w:tc>
                <w:tcPr>
                  <w:tcW w:w="1101" w:type="pct"/>
                  <w:noWrap w:val="0"/>
                  <w:tcMar>
                    <w:top w:w="0" w:type="dxa"/>
                    <w:left w:w="108" w:type="dxa"/>
                    <w:bottom w:w="0" w:type="dxa"/>
                    <w:right w:w="108" w:type="dxa"/>
                  </w:tcMar>
                  <w:vAlign w:val="center"/>
                </w:tcPr>
                <w:p w14:paraId="7E6F3832">
                  <w:pPr>
                    <w:keepNext w:val="0"/>
                    <w:keepLines w:val="0"/>
                    <w:pageBreakBefore w:val="0"/>
                    <w:widowControl w:val="0"/>
                    <w:wordWrap/>
                    <w:topLinePunct w:val="0"/>
                    <w:bidi w:val="0"/>
                    <w:jc w:val="center"/>
                    <w:rPr>
                      <w:rFonts w:hint="default" w:ascii="Times New Roman" w:hAnsi="Times New Roman" w:eastAsia="宋体" w:cs="Times New Roman"/>
                      <w:b w:val="0"/>
                      <w:bCs w:val="0"/>
                      <w:color w:val="auto"/>
                      <w:kern w:val="0"/>
                      <w:sz w:val="21"/>
                      <w:szCs w:val="21"/>
                      <w:highlight w:val="none"/>
                      <w:lang w:val="en-US" w:eastAsia="zh-CN"/>
                    </w:rPr>
                  </w:pPr>
                  <w:r>
                    <w:rPr>
                      <w:rFonts w:hint="eastAsia" w:eastAsia="宋体" w:cs="Times New Roman"/>
                      <w:b w:val="0"/>
                      <w:bCs w:val="0"/>
                      <w:color w:val="auto"/>
                      <w:kern w:val="0"/>
                      <w:sz w:val="21"/>
                      <w:szCs w:val="21"/>
                      <w:highlight w:val="none"/>
                      <w:lang w:val="en-US" w:eastAsia="zh-CN"/>
                    </w:rPr>
                    <w:t>1100</w:t>
                  </w:r>
                </w:p>
              </w:tc>
            </w:tr>
            <w:tr w14:paraId="05316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 w:hRule="atLeast"/>
                <w:jc w:val="center"/>
              </w:trPr>
              <w:tc>
                <w:tcPr>
                  <w:tcW w:w="672" w:type="pct"/>
                  <w:vMerge w:val="continue"/>
                  <w:noWrap w:val="0"/>
                  <w:vAlign w:val="center"/>
                </w:tcPr>
                <w:p w14:paraId="0862F06A">
                  <w:pPr>
                    <w:keepNext w:val="0"/>
                    <w:keepLines w:val="0"/>
                    <w:pageBreakBefore w:val="0"/>
                    <w:widowControl w:val="0"/>
                    <w:wordWrap/>
                    <w:topLinePunct w:val="0"/>
                    <w:bidi w:val="0"/>
                    <w:jc w:val="center"/>
                    <w:rPr>
                      <w:rFonts w:hint="default" w:ascii="Times New Roman" w:hAnsi="Times New Roman" w:cs="Times New Roman"/>
                      <w:b w:val="0"/>
                      <w:bCs w:val="0"/>
                      <w:color w:val="auto"/>
                      <w:kern w:val="0"/>
                      <w:sz w:val="21"/>
                      <w:szCs w:val="21"/>
                      <w:highlight w:val="none"/>
                    </w:rPr>
                  </w:pPr>
                </w:p>
              </w:tc>
              <w:tc>
                <w:tcPr>
                  <w:tcW w:w="965" w:type="pct"/>
                  <w:noWrap w:val="0"/>
                  <w:vAlign w:val="center"/>
                </w:tcPr>
                <w:p w14:paraId="168D3008">
                  <w:pPr>
                    <w:keepNext w:val="0"/>
                    <w:keepLines w:val="0"/>
                    <w:pageBreakBefore w:val="0"/>
                    <w:widowControl w:val="0"/>
                    <w:wordWrap/>
                    <w:topLinePunct w:val="0"/>
                    <w:bidi w:val="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cs="Times New Roman"/>
                      <w:b w:val="0"/>
                      <w:bCs w:val="0"/>
                      <w:color w:val="auto"/>
                      <w:kern w:val="0"/>
                      <w:sz w:val="21"/>
                      <w:szCs w:val="21"/>
                      <w:highlight w:val="none"/>
                    </w:rPr>
                    <w:t>临时占地</w:t>
                  </w:r>
                </w:p>
              </w:tc>
              <w:tc>
                <w:tcPr>
                  <w:tcW w:w="1083" w:type="pct"/>
                  <w:noWrap w:val="0"/>
                  <w:vAlign w:val="center"/>
                </w:tcPr>
                <w:p w14:paraId="7289BBD3">
                  <w:pPr>
                    <w:keepNext w:val="0"/>
                    <w:keepLines w:val="0"/>
                    <w:pageBreakBefore w:val="0"/>
                    <w:widowControl w:val="0"/>
                    <w:wordWrap/>
                    <w:topLinePunct w:val="0"/>
                    <w:bidi w:val="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进站道路</w:t>
                  </w:r>
                </w:p>
              </w:tc>
              <w:tc>
                <w:tcPr>
                  <w:tcW w:w="1177" w:type="pct"/>
                  <w:noWrap w:val="0"/>
                  <w:tcMar>
                    <w:top w:w="0" w:type="dxa"/>
                    <w:left w:w="108" w:type="dxa"/>
                    <w:bottom w:w="0" w:type="dxa"/>
                    <w:right w:w="108" w:type="dxa"/>
                  </w:tcMar>
                  <w:vAlign w:val="center"/>
                </w:tcPr>
                <w:p w14:paraId="0BC8B185">
                  <w:pPr>
                    <w:keepNext w:val="0"/>
                    <w:keepLines w:val="0"/>
                    <w:pageBreakBefore w:val="0"/>
                    <w:widowControl w:val="0"/>
                    <w:wordWrap/>
                    <w:topLinePunct w:val="0"/>
                    <w:bidi w:val="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eastAsia="宋体" w:cs="Times New Roman"/>
                      <w:b w:val="0"/>
                      <w:bCs w:val="0"/>
                      <w:color w:val="auto"/>
                      <w:kern w:val="0"/>
                      <w:sz w:val="21"/>
                      <w:szCs w:val="21"/>
                      <w:highlight w:val="none"/>
                      <w:lang w:val="en-US" w:eastAsia="zh-CN"/>
                    </w:rPr>
                    <w:t>工业用地</w:t>
                  </w:r>
                </w:p>
              </w:tc>
              <w:tc>
                <w:tcPr>
                  <w:tcW w:w="1101" w:type="pct"/>
                  <w:noWrap w:val="0"/>
                  <w:tcMar>
                    <w:top w:w="0" w:type="dxa"/>
                    <w:left w:w="108" w:type="dxa"/>
                    <w:bottom w:w="0" w:type="dxa"/>
                    <w:right w:w="108" w:type="dxa"/>
                  </w:tcMar>
                  <w:vAlign w:val="center"/>
                </w:tcPr>
                <w:p w14:paraId="6064C693">
                  <w:pPr>
                    <w:keepNext w:val="0"/>
                    <w:keepLines w:val="0"/>
                    <w:pageBreakBefore w:val="0"/>
                    <w:widowControl w:val="0"/>
                    <w:wordWrap/>
                    <w:topLinePunct w:val="0"/>
                    <w:bidi w:val="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200</w:t>
                  </w:r>
                </w:p>
              </w:tc>
            </w:tr>
            <w:tr w14:paraId="59703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 w:hRule="atLeast"/>
                <w:jc w:val="center"/>
              </w:trPr>
              <w:tc>
                <w:tcPr>
                  <w:tcW w:w="3898" w:type="pct"/>
                  <w:gridSpan w:val="4"/>
                  <w:noWrap w:val="0"/>
                  <w:vAlign w:val="center"/>
                </w:tcPr>
                <w:p w14:paraId="5DE7CA02">
                  <w:pPr>
                    <w:keepNext w:val="0"/>
                    <w:keepLines w:val="0"/>
                    <w:pageBreakBefore w:val="0"/>
                    <w:widowControl w:val="0"/>
                    <w:wordWrap/>
                    <w:topLinePunct w:val="0"/>
                    <w:bidi w:val="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lang w:val="en-US" w:eastAsia="zh-CN"/>
                    </w:rPr>
                    <w:t>合计</w:t>
                  </w:r>
                </w:p>
              </w:tc>
              <w:tc>
                <w:tcPr>
                  <w:tcW w:w="1101" w:type="pct"/>
                  <w:noWrap w:val="0"/>
                  <w:tcMar>
                    <w:top w:w="0" w:type="dxa"/>
                    <w:left w:w="108" w:type="dxa"/>
                    <w:bottom w:w="0" w:type="dxa"/>
                    <w:right w:w="108" w:type="dxa"/>
                  </w:tcMar>
                  <w:vAlign w:val="center"/>
                </w:tcPr>
                <w:p w14:paraId="5BCE3BD3">
                  <w:pPr>
                    <w:keepNext w:val="0"/>
                    <w:keepLines w:val="0"/>
                    <w:pageBreakBefore w:val="0"/>
                    <w:widowControl w:val="0"/>
                    <w:wordWrap/>
                    <w:topLinePunct w:val="0"/>
                    <w:bidi w:val="0"/>
                    <w:jc w:val="center"/>
                    <w:rPr>
                      <w:rFonts w:hint="default" w:ascii="Times New Roman" w:hAnsi="Times New Roman" w:eastAsia="宋体" w:cs="Times New Roman"/>
                      <w:b w:val="0"/>
                      <w:bCs w:val="0"/>
                      <w:color w:val="auto"/>
                      <w:kern w:val="0"/>
                      <w:sz w:val="21"/>
                      <w:szCs w:val="21"/>
                      <w:highlight w:val="none"/>
                      <w:lang w:val="en-US" w:eastAsia="zh-CN"/>
                    </w:rPr>
                  </w:pPr>
                  <w:r>
                    <w:rPr>
                      <w:rFonts w:hint="eastAsia" w:eastAsia="宋体" w:cs="Times New Roman"/>
                      <w:b w:val="0"/>
                      <w:bCs w:val="0"/>
                      <w:color w:val="auto"/>
                      <w:kern w:val="0"/>
                      <w:sz w:val="21"/>
                      <w:szCs w:val="21"/>
                      <w:highlight w:val="none"/>
                      <w:lang w:val="en-US" w:eastAsia="zh-CN"/>
                    </w:rPr>
                    <w:t>92434</w:t>
                  </w:r>
                </w:p>
              </w:tc>
            </w:tr>
          </w:tbl>
          <w:p w14:paraId="0408A166">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2.</w:t>
            </w:r>
            <w:r>
              <w:rPr>
                <w:rFonts w:hint="default" w:ascii="Times New Roman" w:hAnsi="Times New Roman" w:eastAsia="宋体" w:cs="Times New Roman"/>
                <w:b/>
                <w:color w:val="auto"/>
                <w:sz w:val="24"/>
                <w:szCs w:val="24"/>
                <w:highlight w:val="none"/>
                <w:lang w:val="en-US" w:eastAsia="zh-CN"/>
              </w:rPr>
              <w:t>5土石方平衡</w:t>
            </w:r>
          </w:p>
          <w:p w14:paraId="0C3E13A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本项目土石方平衡见表2-</w:t>
            </w:r>
            <w:r>
              <w:rPr>
                <w:rFonts w:hint="eastAsia" w:ascii="Times New Roman" w:hAnsi="Times New Roman" w:eastAsia="宋体"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lang w:val="en-US" w:eastAsia="zh-CN"/>
              </w:rPr>
              <w:t>。</w:t>
            </w:r>
          </w:p>
          <w:p w14:paraId="7133E7E8">
            <w:pPr>
              <w:pStyle w:val="16"/>
              <w:keepNext w:val="0"/>
              <w:keepLines w:val="0"/>
              <w:pageBreakBefore w:val="0"/>
              <w:widowControl w:val="0"/>
              <w:wordWrap/>
              <w:topLinePunct w:val="0"/>
              <w:bidi w:val="0"/>
              <w:adjustRightInd w:val="0"/>
              <w:snapToGrid w:val="0"/>
              <w:spacing w:before="0" w:beforeAutospacing="0" w:after="0" w:afterAutospacing="0"/>
              <w:jc w:val="center"/>
              <w:rPr>
                <w:rFonts w:hint="default" w:ascii="Times New Roman" w:hAnsi="Times New Roman" w:eastAsia="宋体" w:cs="Times New Roman"/>
                <w:b/>
                <w:color w:val="auto"/>
                <w:sz w:val="21"/>
                <w:szCs w:val="21"/>
                <w:highlight w:val="none"/>
                <w:vertAlign w:val="superscript"/>
                <w:lang w:val="en-US" w:eastAsia="zh-CN"/>
              </w:rPr>
            </w:pPr>
            <w:r>
              <w:rPr>
                <w:rFonts w:hint="default" w:ascii="Times New Roman" w:hAnsi="Times New Roman" w:eastAsia="宋体" w:cs="Times New Roman"/>
                <w:b/>
                <w:color w:val="auto"/>
                <w:sz w:val="21"/>
                <w:szCs w:val="21"/>
                <w:highlight w:val="none"/>
                <w:lang w:val="en-US" w:eastAsia="zh-CN"/>
              </w:rPr>
              <w:t>表2-</w:t>
            </w:r>
            <w:r>
              <w:rPr>
                <w:rFonts w:hint="eastAsia" w:ascii="Times New Roman" w:hAnsi="Times New Roman" w:eastAsia="宋体" w:cs="Times New Roman"/>
                <w:b/>
                <w:color w:val="auto"/>
                <w:sz w:val="21"/>
                <w:szCs w:val="21"/>
                <w:highlight w:val="none"/>
                <w:lang w:val="en-US" w:eastAsia="zh-CN"/>
              </w:rPr>
              <w:t>4</w:t>
            </w:r>
            <w:r>
              <w:rPr>
                <w:rFonts w:hint="default" w:ascii="Times New Roman" w:hAnsi="Times New Roman" w:eastAsia="宋体" w:cs="Times New Roman"/>
                <w:b/>
                <w:color w:val="auto"/>
                <w:sz w:val="21"/>
                <w:szCs w:val="21"/>
                <w:highlight w:val="none"/>
                <w:lang w:val="en-US" w:eastAsia="zh-CN"/>
              </w:rPr>
              <w:t xml:space="preserve">    土石方平衡表   单位：m</w:t>
            </w:r>
            <w:r>
              <w:rPr>
                <w:rFonts w:hint="default" w:ascii="Times New Roman" w:hAnsi="Times New Roman" w:eastAsia="宋体" w:cs="Times New Roman"/>
                <w:b/>
                <w:color w:val="auto"/>
                <w:sz w:val="21"/>
                <w:szCs w:val="21"/>
                <w:highlight w:val="none"/>
                <w:vertAlign w:val="superscript"/>
                <w:lang w:val="en-US" w:eastAsia="zh-CN"/>
              </w:rPr>
              <w:t>3</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820"/>
              <w:gridCol w:w="1095"/>
              <w:gridCol w:w="1196"/>
              <w:gridCol w:w="1185"/>
              <w:gridCol w:w="1902"/>
            </w:tblGrid>
            <w:tr w14:paraId="44487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04" w:type="pct"/>
                  <w:gridSpan w:val="2"/>
                  <w:noWrap w:val="0"/>
                  <w:vAlign w:val="center"/>
                </w:tcPr>
                <w:p w14:paraId="386C8788">
                  <w:pPr>
                    <w:pStyle w:val="25"/>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项目</w:t>
                  </w:r>
                </w:p>
              </w:tc>
              <w:tc>
                <w:tcPr>
                  <w:tcW w:w="691" w:type="pct"/>
                  <w:noWrap w:val="0"/>
                  <w:vAlign w:val="center"/>
                </w:tcPr>
                <w:p w14:paraId="0CBD012D">
                  <w:pPr>
                    <w:pStyle w:val="25"/>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挖方</w:t>
                  </w:r>
                  <w:r>
                    <w:rPr>
                      <w:rFonts w:hint="eastAsia" w:ascii="Times New Roman" w:hAnsi="Times New Roman" w:cs="Times New Roman"/>
                      <w:color w:val="auto"/>
                      <w:sz w:val="21"/>
                      <w:szCs w:val="21"/>
                      <w:highlight w:val="none"/>
                      <w:vertAlign w:val="baseline"/>
                      <w:lang w:val="en-US" w:eastAsia="zh-CN"/>
                    </w:rPr>
                    <w:t>量</w:t>
                  </w:r>
                </w:p>
              </w:tc>
              <w:tc>
                <w:tcPr>
                  <w:tcW w:w="755" w:type="pct"/>
                  <w:noWrap w:val="0"/>
                  <w:vAlign w:val="center"/>
                </w:tcPr>
                <w:p w14:paraId="1F6EAD96">
                  <w:pPr>
                    <w:pStyle w:val="25"/>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填方</w:t>
                  </w:r>
                  <w:r>
                    <w:rPr>
                      <w:rFonts w:hint="eastAsia" w:ascii="Times New Roman" w:hAnsi="Times New Roman" w:cs="Times New Roman"/>
                      <w:color w:val="auto"/>
                      <w:sz w:val="21"/>
                      <w:szCs w:val="21"/>
                      <w:highlight w:val="none"/>
                      <w:vertAlign w:val="baseline"/>
                      <w:lang w:val="en-US" w:eastAsia="zh-CN"/>
                    </w:rPr>
                    <w:t>量</w:t>
                  </w:r>
                </w:p>
              </w:tc>
              <w:tc>
                <w:tcPr>
                  <w:tcW w:w="748" w:type="pct"/>
                  <w:noWrap w:val="0"/>
                  <w:vAlign w:val="center"/>
                </w:tcPr>
                <w:p w14:paraId="0A7EC5F2">
                  <w:pPr>
                    <w:pStyle w:val="25"/>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余方量</w:t>
                  </w:r>
                </w:p>
              </w:tc>
              <w:tc>
                <w:tcPr>
                  <w:tcW w:w="1200" w:type="pct"/>
                  <w:noWrap w:val="0"/>
                  <w:vAlign w:val="center"/>
                </w:tcPr>
                <w:p w14:paraId="529F5ACF">
                  <w:pPr>
                    <w:pStyle w:val="25"/>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去向/来源</w:t>
                  </w:r>
                </w:p>
              </w:tc>
            </w:tr>
            <w:tr w14:paraId="3E705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55" w:type="pct"/>
                  <w:vMerge w:val="restart"/>
                  <w:noWrap w:val="0"/>
                  <w:vAlign w:val="center"/>
                </w:tcPr>
                <w:p w14:paraId="4BE22D2E">
                  <w:pPr>
                    <w:keepNext w:val="0"/>
                    <w:keepLines w:val="0"/>
                    <w:pageBreakBefore w:val="0"/>
                    <w:widowControl w:val="0"/>
                    <w:suppressLineNumbers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储能电站</w:t>
                  </w:r>
                </w:p>
              </w:tc>
              <w:tc>
                <w:tcPr>
                  <w:tcW w:w="1149" w:type="pct"/>
                  <w:noWrap w:val="0"/>
                  <w:vAlign w:val="center"/>
                </w:tcPr>
                <w:p w14:paraId="6186FFD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vertAlign w:val="baseline"/>
                      <w:lang w:val="en-US" w:eastAsia="zh-CN" w:bidi="ar-SA"/>
                    </w:rPr>
                  </w:pPr>
                  <w:r>
                    <w:rPr>
                      <w:rFonts w:hint="eastAsia" w:ascii="Times New Roman" w:hAnsi="Times New Roman" w:eastAsia="宋体" w:cs="Times New Roman"/>
                      <w:bCs/>
                      <w:color w:val="auto"/>
                      <w:kern w:val="2"/>
                      <w:sz w:val="21"/>
                      <w:szCs w:val="21"/>
                      <w:highlight w:val="none"/>
                      <w:vertAlign w:val="baseline"/>
                      <w:lang w:val="en-US" w:eastAsia="zh-CN" w:bidi="ar-SA"/>
                    </w:rPr>
                    <w:t>储能电站工程</w:t>
                  </w:r>
                </w:p>
              </w:tc>
              <w:tc>
                <w:tcPr>
                  <w:tcW w:w="691" w:type="pct"/>
                  <w:noWrap w:val="0"/>
                  <w:vAlign w:val="center"/>
                </w:tcPr>
                <w:p w14:paraId="0D85E1D3">
                  <w:pPr>
                    <w:keepNext w:val="0"/>
                    <w:keepLines w:val="0"/>
                    <w:pageBreakBefore w:val="0"/>
                    <w:widowControl w:val="0"/>
                    <w:suppressLineNumbers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45000</w:t>
                  </w:r>
                </w:p>
              </w:tc>
              <w:tc>
                <w:tcPr>
                  <w:tcW w:w="755" w:type="pct"/>
                  <w:noWrap w:val="0"/>
                  <w:vAlign w:val="center"/>
                </w:tcPr>
                <w:p w14:paraId="34A3A1DC">
                  <w:pPr>
                    <w:keepNext w:val="0"/>
                    <w:keepLines w:val="0"/>
                    <w:pageBreakBefore w:val="0"/>
                    <w:widowControl w:val="0"/>
                    <w:suppressLineNumbers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45000</w:t>
                  </w:r>
                </w:p>
              </w:tc>
              <w:tc>
                <w:tcPr>
                  <w:tcW w:w="748" w:type="pct"/>
                  <w:noWrap w:val="0"/>
                  <w:vAlign w:val="center"/>
                </w:tcPr>
                <w:p w14:paraId="33A8F440">
                  <w:pPr>
                    <w:pStyle w:val="25"/>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00" w:type="pct"/>
                  <w:noWrap w:val="0"/>
                  <w:vAlign w:val="center"/>
                </w:tcPr>
                <w:p w14:paraId="447A1004">
                  <w:pPr>
                    <w:pStyle w:val="25"/>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14:paraId="313B4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5" w:type="pct"/>
                  <w:vMerge w:val="continue"/>
                  <w:noWrap w:val="0"/>
                  <w:vAlign w:val="center"/>
                </w:tcPr>
                <w:p w14:paraId="6666EC39">
                  <w:pPr>
                    <w:keepNext w:val="0"/>
                    <w:keepLines w:val="0"/>
                    <w:pageBreakBefore w:val="0"/>
                    <w:widowControl w:val="0"/>
                    <w:suppressLineNumbers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auto"/>
                      <w:kern w:val="0"/>
                      <w:sz w:val="21"/>
                      <w:szCs w:val="21"/>
                      <w:highlight w:val="none"/>
                      <w:lang w:val="en-US" w:eastAsia="zh-CN" w:bidi="ar"/>
                    </w:rPr>
                  </w:pPr>
                </w:p>
              </w:tc>
              <w:tc>
                <w:tcPr>
                  <w:tcW w:w="1149" w:type="pct"/>
                  <w:noWrap w:val="0"/>
                  <w:vAlign w:val="center"/>
                </w:tcPr>
                <w:p w14:paraId="32E47F7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vertAlign w:val="baseline"/>
                      <w:lang w:val="en-US" w:eastAsia="zh-CN" w:bidi="ar-SA"/>
                    </w:rPr>
                  </w:pPr>
                  <w:r>
                    <w:rPr>
                      <w:rFonts w:hint="eastAsia" w:ascii="Times New Roman" w:hAnsi="Times New Roman" w:eastAsia="宋体" w:cs="Times New Roman"/>
                      <w:bCs/>
                      <w:color w:val="auto"/>
                      <w:kern w:val="2"/>
                      <w:sz w:val="21"/>
                      <w:szCs w:val="21"/>
                      <w:highlight w:val="none"/>
                      <w:vertAlign w:val="baseline"/>
                      <w:lang w:val="en-US" w:eastAsia="zh-CN" w:bidi="ar-SA"/>
                    </w:rPr>
                    <w:t>进站道路工程</w:t>
                  </w:r>
                </w:p>
              </w:tc>
              <w:tc>
                <w:tcPr>
                  <w:tcW w:w="691" w:type="pct"/>
                  <w:noWrap w:val="0"/>
                  <w:vAlign w:val="center"/>
                </w:tcPr>
                <w:p w14:paraId="4DD5C71F">
                  <w:pPr>
                    <w:keepNext w:val="0"/>
                    <w:keepLines w:val="0"/>
                    <w:pageBreakBefore w:val="0"/>
                    <w:widowControl w:val="0"/>
                    <w:suppressLineNumbers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700</w:t>
                  </w:r>
                </w:p>
              </w:tc>
              <w:tc>
                <w:tcPr>
                  <w:tcW w:w="755" w:type="pct"/>
                  <w:noWrap w:val="0"/>
                  <w:vAlign w:val="center"/>
                </w:tcPr>
                <w:p w14:paraId="1B49ADE5">
                  <w:pPr>
                    <w:keepNext w:val="0"/>
                    <w:keepLines w:val="0"/>
                    <w:pageBreakBefore w:val="0"/>
                    <w:widowControl w:val="0"/>
                    <w:suppressLineNumbers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550</w:t>
                  </w:r>
                </w:p>
              </w:tc>
              <w:tc>
                <w:tcPr>
                  <w:tcW w:w="748" w:type="pct"/>
                  <w:noWrap w:val="0"/>
                  <w:vAlign w:val="center"/>
                </w:tcPr>
                <w:p w14:paraId="0E646C64">
                  <w:pPr>
                    <w:pStyle w:val="25"/>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150</w:t>
                  </w:r>
                </w:p>
              </w:tc>
              <w:tc>
                <w:tcPr>
                  <w:tcW w:w="1200" w:type="pct"/>
                  <w:noWrap w:val="0"/>
                  <w:vAlign w:val="center"/>
                </w:tcPr>
                <w:p w14:paraId="7E65DD36">
                  <w:pPr>
                    <w:pStyle w:val="25"/>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eastAsia"/>
                      <w:sz w:val="21"/>
                      <w:szCs w:val="21"/>
                      <w:lang w:val="en-US" w:eastAsia="zh-CN"/>
                    </w:rPr>
                    <w:t>就地平衡</w:t>
                  </w:r>
                </w:p>
              </w:tc>
            </w:tr>
            <w:tr w14:paraId="38C4E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04" w:type="pct"/>
                  <w:gridSpan w:val="2"/>
                  <w:noWrap w:val="0"/>
                  <w:vAlign w:val="top"/>
                </w:tcPr>
                <w:p w14:paraId="357E065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vertAlign w:val="baseline"/>
                      <w:lang w:val="en-US" w:eastAsia="zh-CN" w:bidi="ar-SA"/>
                    </w:rPr>
                  </w:pPr>
                  <w:r>
                    <w:rPr>
                      <w:rFonts w:hint="default" w:ascii="Times New Roman" w:hAnsi="Times New Roman" w:eastAsia="宋体" w:cs="Times New Roman"/>
                      <w:bCs/>
                      <w:color w:val="auto"/>
                      <w:kern w:val="2"/>
                      <w:sz w:val="21"/>
                      <w:szCs w:val="21"/>
                      <w:highlight w:val="none"/>
                      <w:vertAlign w:val="baseline"/>
                      <w:lang w:val="en-US" w:eastAsia="zh-CN" w:bidi="ar-SA"/>
                    </w:rPr>
                    <w:t>合计</w:t>
                  </w:r>
                </w:p>
              </w:tc>
              <w:tc>
                <w:tcPr>
                  <w:tcW w:w="691" w:type="pct"/>
                  <w:noWrap w:val="0"/>
                  <w:vAlign w:val="top"/>
                </w:tcPr>
                <w:p w14:paraId="3F32ADEF">
                  <w:pPr>
                    <w:keepNext w:val="0"/>
                    <w:keepLines w:val="0"/>
                    <w:pageBreakBefore w:val="0"/>
                    <w:widowControl w:val="0"/>
                    <w:suppressLineNumbers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45700</w:t>
                  </w:r>
                </w:p>
              </w:tc>
              <w:tc>
                <w:tcPr>
                  <w:tcW w:w="755" w:type="pct"/>
                  <w:noWrap w:val="0"/>
                  <w:vAlign w:val="top"/>
                </w:tcPr>
                <w:p w14:paraId="5D6A4F96">
                  <w:pPr>
                    <w:keepNext w:val="0"/>
                    <w:keepLines w:val="0"/>
                    <w:pageBreakBefore w:val="0"/>
                    <w:widowControl w:val="0"/>
                    <w:suppressLineNumbers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45550</w:t>
                  </w:r>
                </w:p>
              </w:tc>
              <w:tc>
                <w:tcPr>
                  <w:tcW w:w="748" w:type="pct"/>
                  <w:noWrap w:val="0"/>
                  <w:vAlign w:val="top"/>
                </w:tcPr>
                <w:p w14:paraId="687D6BA3">
                  <w:pPr>
                    <w:pStyle w:val="25"/>
                    <w:keepNext w:val="0"/>
                    <w:keepLines w:val="0"/>
                    <w:pageBreakBefore w:val="0"/>
                    <w:widowControl w:val="0"/>
                    <w:kinsoku/>
                    <w:wordWrap/>
                    <w:overflowPunct/>
                    <w:topLinePunct w:val="0"/>
                    <w:autoSpaceDE/>
                    <w:autoSpaceDN/>
                    <w:bidi w:val="0"/>
                    <w:adjustRightInd w:val="0"/>
                    <w:snapToGrid/>
                    <w:spacing w:line="240" w:lineRule="auto"/>
                    <w:jc w:val="both"/>
                    <w:textAlignment w:val="baseline"/>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 xml:space="preserve">   150</w:t>
                  </w:r>
                </w:p>
              </w:tc>
              <w:tc>
                <w:tcPr>
                  <w:tcW w:w="1200" w:type="pct"/>
                  <w:noWrap w:val="0"/>
                  <w:vAlign w:val="top"/>
                </w:tcPr>
                <w:p w14:paraId="70A5BD19">
                  <w:pPr>
                    <w:pStyle w:val="25"/>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p>
              </w:tc>
            </w:tr>
          </w:tbl>
          <w:p w14:paraId="35F446A4">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b/>
                <w:color w:val="auto"/>
                <w:sz w:val="24"/>
                <w:szCs w:val="24"/>
                <w:highlight w:val="none"/>
                <w:lang w:eastAsia="zh-CN"/>
              </w:rPr>
            </w:pPr>
            <w:r>
              <w:rPr>
                <w:rFonts w:hint="default" w:ascii="Times New Roman" w:hAnsi="Times New Roman" w:eastAsia="宋体" w:cs="Times New Roman"/>
                <w:b/>
                <w:color w:val="auto"/>
                <w:sz w:val="24"/>
                <w:szCs w:val="24"/>
                <w:highlight w:val="none"/>
                <w:lang w:val="en-US" w:eastAsia="zh-CN"/>
              </w:rPr>
              <w:t>2.</w:t>
            </w:r>
            <w:r>
              <w:rPr>
                <w:rFonts w:hint="eastAsia"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 xml:space="preserve">生产组织及劳动定员 </w:t>
            </w:r>
          </w:p>
          <w:p w14:paraId="246D134A">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cs="Times New Roman"/>
                <w:bCs/>
                <w:color w:val="auto"/>
                <w:sz w:val="24"/>
                <w:highlight w:val="none"/>
                <w:lang w:val="en-US" w:eastAsia="zh-CN"/>
              </w:rPr>
              <w:t>本项目</w:t>
            </w:r>
            <w:r>
              <w:rPr>
                <w:rFonts w:hint="default" w:ascii="Times New Roman" w:hAnsi="Times New Roman" w:cs="Times New Roman"/>
                <w:bCs/>
                <w:color w:val="auto"/>
                <w:sz w:val="24"/>
                <w:highlight w:val="none"/>
                <w:lang w:val="en-US" w:eastAsia="zh-CN"/>
              </w:rPr>
              <w:t>运维人员共计</w:t>
            </w:r>
            <w:r>
              <w:rPr>
                <w:rFonts w:hint="eastAsia" w:ascii="Times New Roman" w:hAnsi="Times New Roman" w:cs="Times New Roman"/>
                <w:bCs/>
                <w:color w:val="auto"/>
                <w:sz w:val="24"/>
                <w:highlight w:val="none"/>
                <w:lang w:val="en-US" w:eastAsia="zh-CN"/>
              </w:rPr>
              <w:t>18</w:t>
            </w:r>
            <w:r>
              <w:rPr>
                <w:rFonts w:hint="default" w:ascii="Times New Roman" w:hAnsi="Times New Roman" w:cs="Times New Roman"/>
                <w:bCs/>
                <w:color w:val="auto"/>
                <w:sz w:val="24"/>
                <w:highlight w:val="none"/>
                <w:lang w:val="en-US" w:eastAsia="zh-CN"/>
              </w:rPr>
              <w:t>人，年工作时数为365天</w:t>
            </w:r>
            <w:r>
              <w:rPr>
                <w:rFonts w:hint="eastAsia" w:ascii="Times New Roman" w:hAnsi="Times New Roman" w:cs="Times New Roman"/>
                <w:bCs/>
                <w:color w:val="auto"/>
                <w:sz w:val="24"/>
                <w:highlight w:val="none"/>
                <w:lang w:val="en-US" w:eastAsia="zh-CN"/>
              </w:rPr>
              <w:t>。</w:t>
            </w:r>
          </w:p>
        </w:tc>
      </w:tr>
      <w:tr w14:paraId="0CE8C8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4" w:type="pct"/>
            <w:noWrap w:val="0"/>
            <w:vAlign w:val="center"/>
          </w:tcPr>
          <w:p w14:paraId="6FE91E0C">
            <w:pPr>
              <w:keepNext w:val="0"/>
              <w:keepLines w:val="0"/>
              <w:pageBreakBefore w:val="0"/>
              <w:widowControl w:val="0"/>
              <w:wordWrap/>
              <w:topLinePunct w:val="0"/>
              <w:bidi w:val="0"/>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总平面及现场布置</w:t>
            </w:r>
          </w:p>
        </w:tc>
        <w:tc>
          <w:tcPr>
            <w:tcW w:w="4735" w:type="pct"/>
            <w:noWrap w:val="0"/>
            <w:vAlign w:val="center"/>
          </w:tcPr>
          <w:p w14:paraId="4CBB0800">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1.总平面布置</w:t>
            </w:r>
          </w:p>
          <w:p w14:paraId="7897CF2D">
            <w:pPr>
              <w:keepNext w:val="0"/>
              <w:keepLines w:val="0"/>
              <w:pageBreakBefore w:val="0"/>
              <w:widowControl w:val="0"/>
              <w:wordWrap/>
              <w:topLinePunct w:val="0"/>
              <w:bidi w:val="0"/>
              <w:spacing w:line="360" w:lineRule="auto"/>
              <w:ind w:firstLine="480" w:firstLineChars="200"/>
              <w:jc w:val="both"/>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本项目储能电站围墙内面积91134m</w:t>
            </w:r>
            <w:r>
              <w:rPr>
                <w:rFonts w:hint="eastAsia" w:ascii="Times New Roman" w:hAnsi="Times New Roman" w:eastAsia="宋体" w:cs="Times New Roman"/>
                <w:bCs/>
                <w:color w:val="auto"/>
                <w:sz w:val="24"/>
                <w:szCs w:val="24"/>
                <w:highlight w:val="none"/>
                <w:vertAlign w:val="superscript"/>
                <w:lang w:val="en-US" w:eastAsia="zh-CN"/>
              </w:rPr>
              <w:t>2</w:t>
            </w:r>
            <w:r>
              <w:rPr>
                <w:rFonts w:hint="eastAsia" w:ascii="Times New Roman" w:hAnsi="Times New Roman" w:eastAsia="宋体" w:cs="Times New Roman"/>
                <w:bCs/>
                <w:color w:val="auto"/>
                <w:sz w:val="24"/>
                <w:szCs w:val="24"/>
                <w:highlight w:val="none"/>
                <w:lang w:val="en-US" w:eastAsia="zh-CN"/>
              </w:rPr>
              <w:t>，储能电站分为2个区域，南侧为升压站区域，其余均为储能设备区域。</w:t>
            </w:r>
          </w:p>
          <w:p w14:paraId="04C0372B">
            <w:pPr>
              <w:keepNext w:val="0"/>
              <w:keepLines w:val="0"/>
              <w:pageBreakBefore w:val="0"/>
              <w:widowControl w:val="0"/>
              <w:wordWrap/>
              <w:topLinePunct w:val="0"/>
              <w:bidi w:val="0"/>
              <w:spacing w:line="360" w:lineRule="auto"/>
              <w:ind w:firstLine="480" w:firstLineChars="200"/>
              <w:jc w:val="both"/>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升压站区域的生产区和生活区分开布置，生产区位于升压站区域东侧及北侧，其整个东部布置户外AIS，中部的环形道路内侧布置有电气一二次成套设备、主变压器（2台）、事故油池、站用变（3台）、接地变（2台）、10kV备用变和独立避雷针（2根），西部的环形道路内侧北端布置有SVG（4台）；生活区位于升压站区域西南侧，其西部环形道路内侧偏中南部布置有综合楼、附属用房、危险废物贮存库和污水处理装置。</w:t>
            </w:r>
          </w:p>
          <w:p w14:paraId="72A8158B">
            <w:pPr>
              <w:keepNext w:val="0"/>
              <w:keepLines w:val="0"/>
              <w:pageBreakBefore w:val="0"/>
              <w:widowControl w:val="0"/>
              <w:wordWrap/>
              <w:topLinePunct w:val="0"/>
              <w:bidi w:val="0"/>
              <w:spacing w:line="360" w:lineRule="auto"/>
              <w:ind w:firstLine="480" w:firstLineChars="200"/>
              <w:jc w:val="both"/>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储能设备区规划布置有74套磷酸铁锂储能单元（内含74台储能电控舱和296台储能电池舱）和3套钠离子电池储能单元（内含3台储能电控舱和6台储能电池舱），储能区域最北部布置有全钒液流储能室，最北部偏东预留了远期CTB电池安装场地。进站大门位于整个站区南部，其东侧设置有门卫室，站内在综合楼、电气一二次成套设备、主变压器和户外AIS设备等建构筑物四周以及其余储能设备区域四周设置环型道路。</w:t>
            </w:r>
          </w:p>
          <w:p w14:paraId="7061A6B7">
            <w:pPr>
              <w:keepNext w:val="0"/>
              <w:keepLines w:val="0"/>
              <w:pageBreakBefore w:val="0"/>
              <w:widowControl w:val="0"/>
              <w:wordWrap/>
              <w:topLinePunct w:val="0"/>
              <w:bidi w:val="0"/>
              <w:spacing w:line="360" w:lineRule="auto"/>
              <w:ind w:firstLine="480" w:firstLineChars="200"/>
              <w:jc w:val="both"/>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新建进站道路及站内道路宽度均为4.5m，满足运输及消防通道要求。站内设备周边裸露区域铺设碎石地坪，整个站区布置紧凑合理，工艺流程顺畅，各建筑物间防火间距均满足规程要求，功能分区清晰明确，站区内道路设置合理流畅。</w:t>
            </w:r>
          </w:p>
          <w:p w14:paraId="11B06F50">
            <w:pPr>
              <w:keepNext w:val="0"/>
              <w:keepLines w:val="0"/>
              <w:pageBreakBefore w:val="0"/>
              <w:widowControl w:val="0"/>
              <w:wordWrap/>
              <w:topLinePunct w:val="0"/>
              <w:bidi w:val="0"/>
              <w:spacing w:line="360" w:lineRule="auto"/>
              <w:ind w:firstLine="480" w:firstLineChars="200"/>
              <w:jc w:val="both"/>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具体见2-3储能电站平面布置图。</w:t>
            </w:r>
          </w:p>
          <w:p w14:paraId="6004A6D0">
            <w:pPr>
              <w:keepNext w:val="0"/>
              <w:keepLines w:val="0"/>
              <w:pageBreakBefore w:val="0"/>
              <w:widowControl w:val="0"/>
              <w:numPr>
                <w:ilvl w:val="0"/>
                <w:numId w:val="3"/>
              </w:numPr>
              <w:wordWrap/>
              <w:topLinePunct w:val="0"/>
              <w:bidi w:val="0"/>
              <w:spacing w:line="360" w:lineRule="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施工布置</w:t>
            </w:r>
          </w:p>
          <w:p w14:paraId="348F545B">
            <w:pPr>
              <w:keepNext w:val="0"/>
              <w:keepLines w:val="0"/>
              <w:pageBreakBefore w:val="0"/>
              <w:widowControl w:val="0"/>
              <w:wordWrap/>
              <w:topLinePunct w:val="0"/>
              <w:bidi w:val="0"/>
              <w:spacing w:line="360" w:lineRule="auto"/>
              <w:ind w:firstLine="480" w:firstLineChars="200"/>
              <w:jc w:val="both"/>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color w:val="auto"/>
                <w:kern w:val="0"/>
                <w:sz w:val="24"/>
                <w:highlight w:val="none"/>
                <w:lang w:val="en-US" w:eastAsia="zh-CN"/>
              </w:rPr>
              <w:t>储能电站内施工总平面布置有</w:t>
            </w:r>
            <w:r>
              <w:rPr>
                <w:rFonts w:hint="default" w:ascii="Times New Roman" w:hAnsi="Times New Roman" w:eastAsia="宋体" w:cs="Times New Roman"/>
                <w:color w:val="auto"/>
                <w:kern w:val="0"/>
                <w:sz w:val="24"/>
                <w:highlight w:val="none"/>
                <w:lang w:val="en-US" w:eastAsia="zh-CN"/>
              </w:rPr>
              <w:t>施工</w:t>
            </w:r>
            <w:r>
              <w:rPr>
                <w:rFonts w:hint="eastAsia" w:ascii="Times New Roman" w:hAnsi="Times New Roman" w:eastAsia="宋体" w:cs="Times New Roman"/>
                <w:color w:val="auto"/>
                <w:kern w:val="0"/>
                <w:sz w:val="24"/>
                <w:highlight w:val="none"/>
                <w:lang w:val="en-US" w:eastAsia="zh-CN"/>
              </w:rPr>
              <w:t>管理及生活区、综合加工厂、综合仓库、机械停放场、堆场保卫室等，</w:t>
            </w:r>
            <w:r>
              <w:rPr>
                <w:rFonts w:hint="eastAsia" w:ascii="Times New Roman" w:hAnsi="Times New Roman" w:eastAsia="宋体" w:cs="Times New Roman"/>
                <w:bCs/>
                <w:color w:val="auto"/>
                <w:sz w:val="24"/>
                <w:szCs w:val="24"/>
                <w:highlight w:val="none"/>
                <w:lang w:val="en-US" w:eastAsia="zh-CN"/>
              </w:rPr>
              <w:t>临时施工场地位于储能电站永久占地内，不新增临时占地。</w:t>
            </w:r>
          </w:p>
          <w:p w14:paraId="3A07C26F">
            <w:pPr>
              <w:keepNext w:val="0"/>
              <w:keepLines w:val="0"/>
              <w:pageBreakBefore w:val="0"/>
              <w:widowControl w:val="0"/>
              <w:wordWrap/>
              <w:topLinePunct w:val="0"/>
              <w:bidi w:val="0"/>
              <w:spacing w:line="360" w:lineRule="auto"/>
              <w:ind w:firstLine="480" w:firstLineChars="200"/>
              <w:jc w:val="both"/>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储能电站临时施工场地占地情况见表2-5。</w:t>
            </w:r>
          </w:p>
          <w:p w14:paraId="50287F5C">
            <w:pPr>
              <w:pStyle w:val="16"/>
              <w:keepNext w:val="0"/>
              <w:keepLines w:val="0"/>
              <w:pageBreakBefore w:val="0"/>
              <w:widowControl w:val="0"/>
              <w:wordWrap/>
              <w:topLinePunct w:val="0"/>
              <w:bidi w:val="0"/>
              <w:adjustRightInd w:val="0"/>
              <w:snapToGrid w:val="0"/>
              <w:spacing w:before="0" w:beforeAutospacing="0" w:after="0" w:afterAutospacing="0"/>
              <w:jc w:val="center"/>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表2-5   储能电站临时施工场地占地情况表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6"/>
              <w:gridCol w:w="1790"/>
              <w:gridCol w:w="3683"/>
            </w:tblGrid>
            <w:tr w14:paraId="5361C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44" w:type="pct"/>
                  <w:noWrap w:val="0"/>
                  <w:vAlign w:val="center"/>
                </w:tcPr>
                <w:p w14:paraId="2270F7E0">
                  <w:pPr>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名称</w:t>
                  </w:r>
                </w:p>
              </w:tc>
              <w:tc>
                <w:tcPr>
                  <w:tcW w:w="1130" w:type="pct"/>
                  <w:noWrap w:val="0"/>
                  <w:vAlign w:val="center"/>
                </w:tcPr>
                <w:p w14:paraId="1F56EFE7">
                  <w:pPr>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占地面积</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bCs/>
                      <w:color w:val="auto"/>
                      <w:sz w:val="21"/>
                      <w:szCs w:val="21"/>
                      <w:highlight w:val="none"/>
                      <w:vertAlign w:val="superscript"/>
                      <w:lang w:val="en-US" w:eastAsia="zh-CN"/>
                    </w:rPr>
                    <w:t>2</w:t>
                  </w:r>
                </w:p>
              </w:tc>
              <w:tc>
                <w:tcPr>
                  <w:tcW w:w="2325" w:type="pct"/>
                  <w:noWrap w:val="0"/>
                  <w:vAlign w:val="center"/>
                </w:tcPr>
                <w:p w14:paraId="15195C78">
                  <w:pPr>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备注</w:t>
                  </w:r>
                </w:p>
              </w:tc>
            </w:tr>
            <w:tr w14:paraId="0C18D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544" w:type="pct"/>
                  <w:noWrap w:val="0"/>
                  <w:vAlign w:val="center"/>
                </w:tcPr>
                <w:p w14:paraId="458125A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施工管理及生活区</w:t>
                  </w:r>
                </w:p>
              </w:tc>
              <w:tc>
                <w:tcPr>
                  <w:tcW w:w="1130" w:type="pct"/>
                  <w:noWrap w:val="0"/>
                  <w:vAlign w:val="center"/>
                </w:tcPr>
                <w:p w14:paraId="45F8F39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vertAlign w:val="baseline"/>
                      <w:lang w:val="en-US" w:eastAsia="zh-CN" w:bidi="ar-SA"/>
                    </w:rPr>
                  </w:pPr>
                  <w:r>
                    <w:rPr>
                      <w:rFonts w:hint="eastAsia" w:ascii="Times New Roman" w:hAnsi="Times New Roman" w:eastAsia="宋体" w:cs="Times New Roman"/>
                      <w:bCs/>
                      <w:color w:val="auto"/>
                      <w:sz w:val="21"/>
                      <w:szCs w:val="21"/>
                      <w:highlight w:val="none"/>
                      <w:vertAlign w:val="baseline"/>
                      <w:lang w:val="en-US" w:eastAsia="zh-CN"/>
                    </w:rPr>
                    <w:t>6000</w:t>
                  </w:r>
                </w:p>
              </w:tc>
              <w:tc>
                <w:tcPr>
                  <w:tcW w:w="2325" w:type="pct"/>
                  <w:noWrap w:val="0"/>
                  <w:vAlign w:val="center"/>
                </w:tcPr>
                <w:p w14:paraId="2F55A94B">
                  <w:pPr>
                    <w:keepNext w:val="0"/>
                    <w:keepLines w:val="0"/>
                    <w:widowControl/>
                    <w:suppressLineNumbers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包含办公区及生活区</w:t>
                  </w:r>
                </w:p>
              </w:tc>
            </w:tr>
            <w:tr w14:paraId="4132D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pct"/>
                  <w:noWrap w:val="0"/>
                  <w:vAlign w:val="center"/>
                </w:tcPr>
                <w:p w14:paraId="300FD73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综合加工厂</w:t>
                  </w:r>
                </w:p>
              </w:tc>
              <w:tc>
                <w:tcPr>
                  <w:tcW w:w="1130" w:type="pct"/>
                  <w:noWrap w:val="0"/>
                  <w:vAlign w:val="center"/>
                </w:tcPr>
                <w:p w14:paraId="59F1995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vertAlign w:val="baseline"/>
                      <w:lang w:val="en-US" w:eastAsia="zh-CN" w:bidi="ar-SA"/>
                    </w:rPr>
                  </w:pPr>
                  <w:r>
                    <w:rPr>
                      <w:rFonts w:hint="eastAsia" w:ascii="Times New Roman" w:hAnsi="Times New Roman" w:eastAsia="宋体" w:cs="Times New Roman"/>
                      <w:bCs/>
                      <w:color w:val="auto"/>
                      <w:sz w:val="21"/>
                      <w:szCs w:val="21"/>
                      <w:highlight w:val="none"/>
                      <w:vertAlign w:val="baseline"/>
                      <w:lang w:val="en-US" w:eastAsia="zh-CN"/>
                    </w:rPr>
                    <w:t>3000</w:t>
                  </w:r>
                </w:p>
              </w:tc>
              <w:tc>
                <w:tcPr>
                  <w:tcW w:w="2325" w:type="pct"/>
                  <w:noWrap w:val="0"/>
                  <w:vAlign w:val="center"/>
                </w:tcPr>
                <w:p w14:paraId="43906141">
                  <w:pPr>
                    <w:keepNext w:val="0"/>
                    <w:keepLines w:val="0"/>
                    <w:widowControl/>
                    <w:suppressLineNumbers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主要为</w:t>
                  </w:r>
                  <w:r>
                    <w:rPr>
                      <w:rFonts w:hint="default" w:ascii="Times New Roman" w:hAnsi="Times New Roman" w:eastAsia="宋体" w:cs="Times New Roman"/>
                      <w:color w:val="auto"/>
                      <w:sz w:val="21"/>
                      <w:szCs w:val="21"/>
                      <w:highlight w:val="none"/>
                      <w:lang w:val="en-US" w:eastAsia="zh-CN"/>
                    </w:rPr>
                    <w:t>钢结构构件剪切、调直、弯曲、焊接等加工</w:t>
                  </w:r>
                </w:p>
              </w:tc>
            </w:tr>
            <w:tr w14:paraId="032AE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44" w:type="pct"/>
                  <w:noWrap w:val="0"/>
                  <w:vAlign w:val="center"/>
                </w:tcPr>
                <w:p w14:paraId="7C6DBFF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vertAlign w:val="baseline"/>
                      <w:lang w:val="en-US" w:eastAsia="zh-CN"/>
                    </w:rPr>
                    <w:t>综合仓库</w:t>
                  </w:r>
                </w:p>
              </w:tc>
              <w:tc>
                <w:tcPr>
                  <w:tcW w:w="1130" w:type="pct"/>
                  <w:noWrap w:val="0"/>
                  <w:vAlign w:val="center"/>
                </w:tcPr>
                <w:p w14:paraId="781627E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kern w:val="2"/>
                      <w:sz w:val="21"/>
                      <w:szCs w:val="21"/>
                      <w:highlight w:val="none"/>
                      <w:vertAlign w:val="baseline"/>
                      <w:lang w:val="en-US" w:eastAsia="zh-CN" w:bidi="ar-SA"/>
                    </w:rPr>
                  </w:pPr>
                  <w:r>
                    <w:rPr>
                      <w:rFonts w:hint="eastAsia" w:ascii="Times New Roman" w:hAnsi="Times New Roman" w:eastAsia="宋体" w:cs="Times New Roman"/>
                      <w:bCs/>
                      <w:color w:val="auto"/>
                      <w:sz w:val="21"/>
                      <w:szCs w:val="21"/>
                      <w:highlight w:val="none"/>
                      <w:vertAlign w:val="baseline"/>
                      <w:lang w:val="en-US" w:eastAsia="zh-CN"/>
                    </w:rPr>
                    <w:t>3600</w:t>
                  </w:r>
                </w:p>
              </w:tc>
              <w:tc>
                <w:tcPr>
                  <w:tcW w:w="2325" w:type="pct"/>
                  <w:noWrap w:val="0"/>
                  <w:vAlign w:val="center"/>
                </w:tcPr>
                <w:p w14:paraId="338628D1">
                  <w:pPr>
                    <w:keepNext w:val="0"/>
                    <w:keepLines w:val="0"/>
                    <w:widowControl/>
                    <w:suppressLineNumbers w:val="0"/>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主要用于物料、生活用品堆放</w:t>
                  </w:r>
                </w:p>
              </w:tc>
            </w:tr>
            <w:tr w14:paraId="1A3AE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44" w:type="pct"/>
                  <w:noWrap w:val="0"/>
                  <w:vAlign w:val="center"/>
                </w:tcPr>
                <w:p w14:paraId="10C2D0C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机械停放场</w:t>
                  </w:r>
                </w:p>
              </w:tc>
              <w:tc>
                <w:tcPr>
                  <w:tcW w:w="1130" w:type="pct"/>
                  <w:noWrap w:val="0"/>
                  <w:vAlign w:val="center"/>
                </w:tcPr>
                <w:p w14:paraId="40C709D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2700</w:t>
                  </w:r>
                </w:p>
              </w:tc>
              <w:tc>
                <w:tcPr>
                  <w:tcW w:w="2325" w:type="pct"/>
                  <w:noWrap w:val="0"/>
                  <w:vAlign w:val="center"/>
                </w:tcPr>
                <w:p w14:paraId="7CF7B317">
                  <w:pPr>
                    <w:keepNext w:val="0"/>
                    <w:keepLines w:val="0"/>
                    <w:widowControl/>
                    <w:suppressLineNumbers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主要用于施工机械、运输车辆停放</w:t>
                  </w:r>
                </w:p>
              </w:tc>
            </w:tr>
            <w:tr w14:paraId="749CA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44" w:type="pct"/>
                  <w:noWrap w:val="0"/>
                  <w:vAlign w:val="center"/>
                </w:tcPr>
                <w:p w14:paraId="58FD578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堆场保卫室</w:t>
                  </w:r>
                </w:p>
              </w:tc>
              <w:tc>
                <w:tcPr>
                  <w:tcW w:w="1130" w:type="pct"/>
                  <w:noWrap w:val="0"/>
                  <w:vAlign w:val="center"/>
                </w:tcPr>
                <w:p w14:paraId="67DB7CD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300</w:t>
                  </w:r>
                </w:p>
              </w:tc>
              <w:tc>
                <w:tcPr>
                  <w:tcW w:w="2325" w:type="pct"/>
                  <w:noWrap w:val="0"/>
                  <w:vAlign w:val="center"/>
                </w:tcPr>
                <w:p w14:paraId="1542C4CC">
                  <w:pPr>
                    <w:keepNext w:val="0"/>
                    <w:keepLines w:val="0"/>
                    <w:widowControl/>
                    <w:suppressLineNumbers w:val="0"/>
                    <w:spacing w:line="240" w:lineRule="auto"/>
                    <w:jc w:val="center"/>
                    <w:rPr>
                      <w:rFonts w:hint="eastAsia" w:ascii="Times New Roman" w:hAnsi="Times New Roman" w:eastAsia="宋体" w:cs="Times New Roman"/>
                      <w:color w:val="auto"/>
                      <w:kern w:val="0"/>
                      <w:sz w:val="21"/>
                      <w:szCs w:val="21"/>
                      <w:highlight w:val="none"/>
                      <w:lang w:val="en-US" w:eastAsia="zh-CN" w:bidi="ar"/>
                    </w:rPr>
                  </w:pPr>
                </w:p>
              </w:tc>
            </w:tr>
            <w:tr w14:paraId="4C895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44" w:type="pct"/>
                  <w:noWrap w:val="0"/>
                  <w:vAlign w:val="center"/>
                </w:tcPr>
                <w:p w14:paraId="4C56E4C7">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合计</w:t>
                  </w:r>
                </w:p>
              </w:tc>
              <w:tc>
                <w:tcPr>
                  <w:tcW w:w="1130" w:type="pct"/>
                  <w:noWrap w:val="0"/>
                  <w:vAlign w:val="center"/>
                </w:tcPr>
                <w:p w14:paraId="1A62D2A3">
                  <w:pPr>
                    <w:spacing w:line="240" w:lineRule="auto"/>
                    <w:jc w:val="center"/>
                    <w:rPr>
                      <w:rFonts w:hint="default" w:ascii="Times New Roman" w:hAnsi="Times New Roman" w:eastAsia="宋体" w:cs="Times New Roman"/>
                      <w:bCs/>
                      <w:color w:val="auto"/>
                      <w:kern w:val="2"/>
                      <w:sz w:val="21"/>
                      <w:szCs w:val="21"/>
                      <w:highlight w:val="none"/>
                      <w:vertAlign w:val="baseline"/>
                      <w:lang w:val="en-US" w:eastAsia="zh-CN" w:bidi="ar-SA"/>
                    </w:rPr>
                  </w:pPr>
                  <w:r>
                    <w:rPr>
                      <w:rFonts w:hint="eastAsia" w:ascii="Times New Roman" w:hAnsi="Times New Roman" w:eastAsia="宋体" w:cs="Times New Roman"/>
                      <w:bCs/>
                      <w:color w:val="auto"/>
                      <w:kern w:val="2"/>
                      <w:sz w:val="21"/>
                      <w:szCs w:val="21"/>
                      <w:highlight w:val="none"/>
                      <w:vertAlign w:val="baseline"/>
                      <w:lang w:val="en-US" w:eastAsia="zh-CN" w:bidi="ar-SA"/>
                    </w:rPr>
                    <w:t>15600</w:t>
                  </w:r>
                </w:p>
              </w:tc>
              <w:tc>
                <w:tcPr>
                  <w:tcW w:w="2325" w:type="pct"/>
                  <w:noWrap w:val="0"/>
                  <w:vAlign w:val="center"/>
                </w:tcPr>
                <w:p w14:paraId="1FE3A59B">
                  <w:pPr>
                    <w:spacing w:line="240" w:lineRule="auto"/>
                    <w:jc w:val="center"/>
                    <w:rPr>
                      <w:rFonts w:hint="default" w:ascii="Times New Roman" w:hAnsi="Times New Roman" w:eastAsia="宋体" w:cs="Times New Roman"/>
                      <w:bCs/>
                      <w:color w:val="auto"/>
                      <w:sz w:val="21"/>
                      <w:szCs w:val="21"/>
                      <w:highlight w:val="none"/>
                      <w:vertAlign w:val="baseline"/>
                      <w:lang w:val="en-US" w:eastAsia="zh-CN"/>
                    </w:rPr>
                  </w:pPr>
                </w:p>
              </w:tc>
            </w:tr>
          </w:tbl>
          <w:p w14:paraId="06EE443E">
            <w:pPr>
              <w:keepNext w:val="0"/>
              <w:keepLines w:val="0"/>
              <w:pageBreakBefore w:val="0"/>
              <w:widowControl w:val="0"/>
              <w:wordWrap/>
              <w:topLinePunct w:val="0"/>
              <w:bidi w:val="0"/>
              <w:spacing w:line="360" w:lineRule="auto"/>
              <w:ind w:firstLine="480" w:firstLineChars="200"/>
              <w:jc w:val="both"/>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施工用电：</w:t>
            </w:r>
            <w:r>
              <w:rPr>
                <w:rFonts w:hint="eastAsia" w:ascii="Times New Roman" w:hAnsi="Times New Roman" w:eastAsia="宋体" w:cs="Times New Roman"/>
                <w:color w:val="auto"/>
                <w:kern w:val="0"/>
                <w:sz w:val="24"/>
                <w:highlight w:val="none"/>
                <w:lang w:val="en-US" w:eastAsia="zh-CN"/>
              </w:rPr>
              <w:t>接园区供电系统</w:t>
            </w:r>
            <w:r>
              <w:rPr>
                <w:rFonts w:hint="default" w:ascii="Times New Roman" w:hAnsi="Times New Roman" w:eastAsia="宋体" w:cs="Times New Roman"/>
                <w:color w:val="auto"/>
                <w:kern w:val="0"/>
                <w:sz w:val="24"/>
                <w:highlight w:val="none"/>
                <w:lang w:val="en-US" w:eastAsia="zh-CN"/>
              </w:rPr>
              <w:t>。</w:t>
            </w:r>
          </w:p>
          <w:p w14:paraId="7A40E0C2">
            <w:pPr>
              <w:keepNext w:val="0"/>
              <w:keepLines w:val="0"/>
              <w:pageBreakBefore w:val="0"/>
              <w:widowControl w:val="0"/>
              <w:wordWrap/>
              <w:topLinePunct w:val="0"/>
              <w:bidi w:val="0"/>
              <w:spacing w:line="360" w:lineRule="auto"/>
              <w:ind w:firstLine="480" w:firstLineChars="200"/>
              <w:jc w:val="both"/>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施工用水：</w:t>
            </w:r>
            <w:r>
              <w:rPr>
                <w:rFonts w:hint="eastAsia" w:ascii="Times New Roman" w:hAnsi="Times New Roman" w:eastAsia="宋体" w:cs="Times New Roman"/>
                <w:color w:val="auto"/>
                <w:kern w:val="0"/>
                <w:sz w:val="24"/>
                <w:highlight w:val="none"/>
                <w:lang w:val="en-US" w:eastAsia="zh-CN"/>
              </w:rPr>
              <w:t>接园区市政管网</w:t>
            </w:r>
            <w:r>
              <w:rPr>
                <w:rFonts w:hint="default" w:ascii="Times New Roman" w:hAnsi="Times New Roman" w:eastAsia="宋体" w:cs="Times New Roman"/>
                <w:color w:val="auto"/>
                <w:kern w:val="0"/>
                <w:sz w:val="24"/>
                <w:highlight w:val="none"/>
                <w:lang w:val="en-US" w:eastAsia="zh-CN"/>
              </w:rPr>
              <w:t>。</w:t>
            </w:r>
          </w:p>
          <w:p w14:paraId="613D1C9A">
            <w:pPr>
              <w:keepNext w:val="0"/>
              <w:keepLines w:val="0"/>
              <w:pageBreakBefore w:val="0"/>
              <w:widowControl w:val="0"/>
              <w:wordWrap/>
              <w:topLinePunct w:val="0"/>
              <w:bidi w:val="0"/>
              <w:spacing w:line="360" w:lineRule="auto"/>
              <w:ind w:firstLine="480" w:firstLineChars="200"/>
              <w:jc w:val="both"/>
              <w:rPr>
                <w:rFonts w:hint="eastAsia"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color w:val="auto"/>
                <w:kern w:val="0"/>
                <w:sz w:val="24"/>
                <w:highlight w:val="none"/>
                <w:lang w:val="en-US" w:eastAsia="zh-CN"/>
              </w:rPr>
              <w:t>施工材料：</w:t>
            </w:r>
            <w:r>
              <w:rPr>
                <w:rFonts w:hint="eastAsia" w:ascii="Times New Roman" w:hAnsi="Times New Roman" w:eastAsia="宋体" w:cs="Times New Roman"/>
                <w:color w:val="auto"/>
                <w:kern w:val="0"/>
                <w:sz w:val="24"/>
                <w:highlight w:val="none"/>
                <w:lang w:val="en-US" w:eastAsia="zh-CN"/>
              </w:rPr>
              <w:t>使用商品混凝土</w:t>
            </w:r>
            <w:r>
              <w:rPr>
                <w:rFonts w:hint="default" w:ascii="Times New Roman" w:hAnsi="Times New Roman" w:eastAsia="宋体" w:cs="Times New Roman"/>
                <w:color w:val="auto"/>
                <w:kern w:val="0"/>
                <w:sz w:val="24"/>
                <w:highlight w:val="none"/>
                <w:lang w:val="en-US" w:eastAsia="zh-CN"/>
              </w:rPr>
              <w:t>。</w:t>
            </w:r>
          </w:p>
          <w:p w14:paraId="3174E6BE">
            <w:pPr>
              <w:keepNext w:val="0"/>
              <w:keepLines w:val="0"/>
              <w:pageBreakBefore w:val="0"/>
              <w:widowControl w:val="0"/>
              <w:wordWrap/>
              <w:topLinePunct w:val="0"/>
              <w:bidi w:val="0"/>
              <w:spacing w:line="360" w:lineRule="auto"/>
              <w:ind w:firstLine="480" w:firstLineChars="200"/>
              <w:jc w:val="both"/>
              <w:rPr>
                <w:rFonts w:hint="default" w:ascii="Times New Roman" w:hAnsi="Times New Roman" w:eastAsia="宋体" w:cs="Times New Roman"/>
                <w:color w:val="auto"/>
                <w:kern w:val="0"/>
                <w:sz w:val="24"/>
                <w:szCs w:val="24"/>
                <w:highlight w:val="none"/>
                <w:lang w:val="en-US" w:eastAsia="zh-CN" w:bidi="ar"/>
              </w:rPr>
            </w:pPr>
          </w:p>
          <w:p w14:paraId="3D046EB5">
            <w:pPr>
              <w:pStyle w:val="23"/>
              <w:rPr>
                <w:rFonts w:hint="default" w:ascii="Times New Roman" w:hAnsi="Times New Roman" w:eastAsia="宋体" w:cs="Times New Roman"/>
                <w:color w:val="auto"/>
                <w:kern w:val="0"/>
                <w:sz w:val="24"/>
                <w:szCs w:val="24"/>
                <w:highlight w:val="none"/>
                <w:lang w:val="en-US" w:eastAsia="zh-CN" w:bidi="ar"/>
              </w:rPr>
            </w:pPr>
          </w:p>
          <w:p w14:paraId="4BCEDA37">
            <w:pPr>
              <w:pStyle w:val="23"/>
              <w:rPr>
                <w:rFonts w:hint="default" w:ascii="Times New Roman" w:hAnsi="Times New Roman" w:eastAsia="宋体" w:cs="Times New Roman"/>
                <w:color w:val="auto"/>
                <w:kern w:val="0"/>
                <w:sz w:val="24"/>
                <w:szCs w:val="24"/>
                <w:highlight w:val="none"/>
                <w:lang w:val="en-US" w:eastAsia="zh-CN" w:bidi="ar"/>
              </w:rPr>
            </w:pPr>
          </w:p>
          <w:p w14:paraId="2CC1B282">
            <w:pPr>
              <w:pStyle w:val="23"/>
              <w:rPr>
                <w:rFonts w:hint="default" w:ascii="Times New Roman" w:hAnsi="Times New Roman" w:eastAsia="宋体" w:cs="Times New Roman"/>
                <w:color w:val="auto"/>
                <w:kern w:val="0"/>
                <w:sz w:val="24"/>
                <w:szCs w:val="24"/>
                <w:highlight w:val="none"/>
                <w:lang w:val="en-US" w:eastAsia="zh-CN" w:bidi="ar"/>
              </w:rPr>
            </w:pPr>
          </w:p>
          <w:p w14:paraId="1AFD8E8F">
            <w:pPr>
              <w:pStyle w:val="23"/>
              <w:rPr>
                <w:rFonts w:hint="default" w:ascii="Times New Roman" w:hAnsi="Times New Roman" w:eastAsia="宋体" w:cs="Times New Roman"/>
                <w:color w:val="auto"/>
                <w:kern w:val="0"/>
                <w:sz w:val="24"/>
                <w:szCs w:val="24"/>
                <w:highlight w:val="none"/>
                <w:lang w:val="en-US" w:eastAsia="zh-CN" w:bidi="ar"/>
              </w:rPr>
            </w:pPr>
          </w:p>
          <w:p w14:paraId="5237BF23">
            <w:pPr>
              <w:pStyle w:val="23"/>
              <w:rPr>
                <w:rFonts w:hint="default" w:ascii="Times New Roman" w:hAnsi="Times New Roman" w:eastAsia="宋体" w:cs="Times New Roman"/>
                <w:color w:val="auto"/>
                <w:kern w:val="0"/>
                <w:sz w:val="24"/>
                <w:szCs w:val="24"/>
                <w:highlight w:val="none"/>
                <w:lang w:val="en-US" w:eastAsia="zh-CN" w:bidi="ar"/>
              </w:rPr>
            </w:pPr>
          </w:p>
          <w:p w14:paraId="08B02BD7">
            <w:pPr>
              <w:pStyle w:val="23"/>
              <w:rPr>
                <w:rFonts w:hint="default" w:ascii="Times New Roman" w:hAnsi="Times New Roman" w:eastAsia="宋体" w:cs="Times New Roman"/>
                <w:color w:val="auto"/>
                <w:kern w:val="0"/>
                <w:sz w:val="24"/>
                <w:szCs w:val="24"/>
                <w:highlight w:val="none"/>
                <w:lang w:val="en-US" w:eastAsia="zh-CN" w:bidi="ar"/>
              </w:rPr>
            </w:pPr>
          </w:p>
          <w:p w14:paraId="7C838799">
            <w:pPr>
              <w:pStyle w:val="23"/>
              <w:jc w:val="both"/>
              <w:rPr>
                <w:rFonts w:hint="default" w:ascii="Times New Roman" w:hAnsi="Times New Roman" w:eastAsia="宋体" w:cs="Times New Roman"/>
                <w:color w:val="auto"/>
                <w:kern w:val="0"/>
                <w:sz w:val="24"/>
                <w:szCs w:val="24"/>
                <w:highlight w:val="none"/>
                <w:lang w:val="en-US" w:eastAsia="zh-CN" w:bidi="ar"/>
              </w:rPr>
            </w:pPr>
          </w:p>
          <w:p w14:paraId="06F9B41F">
            <w:pPr>
              <w:pStyle w:val="23"/>
              <w:rPr>
                <w:rFonts w:hint="default" w:ascii="Times New Roman" w:hAnsi="Times New Roman" w:eastAsia="宋体" w:cs="Times New Roman"/>
                <w:color w:val="auto"/>
                <w:kern w:val="0"/>
                <w:sz w:val="24"/>
                <w:szCs w:val="24"/>
                <w:highlight w:val="none"/>
                <w:lang w:val="en-US" w:eastAsia="zh-CN" w:bidi="ar"/>
              </w:rPr>
            </w:pPr>
          </w:p>
        </w:tc>
      </w:tr>
      <w:tr w14:paraId="3C2C26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99" w:hRule="atLeast"/>
          <w:jc w:val="center"/>
        </w:trPr>
        <w:tc>
          <w:tcPr>
            <w:tcW w:w="264" w:type="pct"/>
            <w:noWrap w:val="0"/>
            <w:vAlign w:val="center"/>
          </w:tcPr>
          <w:p w14:paraId="4BE61A1C">
            <w:pPr>
              <w:keepNext w:val="0"/>
              <w:keepLines w:val="0"/>
              <w:pageBreakBefore w:val="0"/>
              <w:widowControl w:val="0"/>
              <w:wordWrap/>
              <w:topLinePunct w:val="0"/>
              <w:bidi w:val="0"/>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施工方案</w:t>
            </w:r>
          </w:p>
        </w:tc>
        <w:tc>
          <w:tcPr>
            <w:tcW w:w="4735" w:type="pct"/>
            <w:noWrap w:val="0"/>
            <w:vAlign w:val="center"/>
          </w:tcPr>
          <w:p w14:paraId="567B58DB">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1.</w:t>
            </w:r>
            <w:r>
              <w:rPr>
                <w:rFonts w:hint="eastAsia" w:ascii="Times New Roman" w:hAnsi="Times New Roman" w:eastAsia="宋体" w:cs="Times New Roman"/>
                <w:b/>
                <w:bCs w:val="0"/>
                <w:color w:val="auto"/>
                <w:sz w:val="24"/>
                <w:highlight w:val="none"/>
                <w:lang w:val="en-US" w:eastAsia="zh-CN"/>
              </w:rPr>
              <w:t>储能电站</w:t>
            </w:r>
            <w:r>
              <w:rPr>
                <w:rFonts w:hint="default" w:ascii="Times New Roman" w:hAnsi="Times New Roman" w:eastAsia="宋体" w:cs="Times New Roman"/>
                <w:b/>
                <w:bCs w:val="0"/>
                <w:color w:val="auto"/>
                <w:sz w:val="24"/>
                <w:highlight w:val="none"/>
                <w:lang w:val="en-US" w:eastAsia="zh-CN"/>
              </w:rPr>
              <w:t>施工方案</w:t>
            </w:r>
          </w:p>
          <w:p w14:paraId="5A5818A3">
            <w:pPr>
              <w:keepNext w:val="0"/>
              <w:keepLines w:val="0"/>
              <w:pageBreakBefore w:val="0"/>
              <w:widowControl w:val="0"/>
              <w:wordWrap/>
              <w:topLinePunct w:val="0"/>
              <w:bidi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储能电站</w:t>
            </w:r>
            <w:r>
              <w:rPr>
                <w:rFonts w:hint="default" w:ascii="Times New Roman" w:hAnsi="Times New Roman" w:eastAsia="宋体" w:cs="Times New Roman"/>
                <w:bCs/>
                <w:color w:val="auto"/>
                <w:sz w:val="24"/>
                <w:highlight w:val="none"/>
                <w:lang w:val="en-US" w:eastAsia="zh-CN"/>
              </w:rPr>
              <w:t xml:space="preserve">施工方案为： </w:t>
            </w:r>
          </w:p>
          <w:p w14:paraId="4B6A8B2A">
            <w:pPr>
              <w:keepNext w:val="0"/>
              <w:keepLines w:val="0"/>
              <w:pageBreakBefore w:val="0"/>
              <w:widowControl w:val="0"/>
              <w:wordWrap/>
              <w:topLinePunct w:val="0"/>
              <w:bidi w:val="0"/>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 xml:space="preserve">（1）场地平整：对施工场地进行平整、清理； </w:t>
            </w:r>
          </w:p>
          <w:p w14:paraId="4FCE5DCE">
            <w:pPr>
              <w:keepNext w:val="0"/>
              <w:keepLines w:val="0"/>
              <w:pageBreakBefore w:val="0"/>
              <w:widowControl w:val="0"/>
              <w:wordWrap/>
              <w:topLinePunct w:val="0"/>
              <w:bidi w:val="0"/>
              <w:spacing w:line="360" w:lineRule="auto"/>
              <w:ind w:firstLine="456" w:firstLineChars="20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pacing w:val="-6"/>
                <w:sz w:val="24"/>
                <w:szCs w:val="24"/>
                <w:highlight w:val="none"/>
                <w:lang w:val="en-US" w:eastAsia="zh-CN"/>
              </w:rPr>
              <w:t>（2）基础开挖、土建施工：主要包括土方开挖、浇筑地基以及地基回填等；</w:t>
            </w:r>
            <w:r>
              <w:rPr>
                <w:rFonts w:hint="default" w:ascii="Times New Roman" w:hAnsi="Times New Roman" w:eastAsia="宋体" w:cs="Times New Roman"/>
                <w:bCs/>
                <w:color w:val="auto"/>
                <w:sz w:val="24"/>
                <w:szCs w:val="24"/>
                <w:highlight w:val="none"/>
                <w:lang w:val="en-US" w:eastAsia="zh-CN"/>
              </w:rPr>
              <w:t xml:space="preserve"> </w:t>
            </w:r>
          </w:p>
          <w:p w14:paraId="3BCF7121">
            <w:pPr>
              <w:keepNext w:val="0"/>
              <w:keepLines w:val="0"/>
              <w:pageBreakBefore w:val="0"/>
              <w:widowControl w:val="0"/>
              <w:wordWrap/>
              <w:topLinePunct w:val="0"/>
              <w:bidi w:val="0"/>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（3）设备安装：主要包括各设施、设备、管线的安装、调试等；</w:t>
            </w:r>
          </w:p>
          <w:p w14:paraId="5C1A6933">
            <w:pPr>
              <w:keepNext w:val="0"/>
              <w:keepLines w:val="0"/>
              <w:pageBreakBefore w:val="0"/>
              <w:widowControl w:val="0"/>
              <w:wordWrap/>
              <w:topLinePunct w:val="0"/>
              <w:bidi w:val="0"/>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（4）投产使用。</w:t>
            </w:r>
          </w:p>
          <w:p w14:paraId="577CCD9A">
            <w:pPr>
              <w:keepNext w:val="0"/>
              <w:keepLines w:val="0"/>
              <w:pageBreakBefore w:val="0"/>
              <w:widowControl w:val="0"/>
              <w:wordWrap/>
              <w:topLinePunct w:val="0"/>
              <w:bidi w:val="0"/>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储能电站</w:t>
            </w:r>
            <w:r>
              <w:rPr>
                <w:rFonts w:hint="default" w:ascii="Times New Roman" w:hAnsi="Times New Roman" w:eastAsia="宋体" w:cs="Times New Roman"/>
                <w:bCs/>
                <w:color w:val="auto"/>
                <w:sz w:val="24"/>
                <w:szCs w:val="24"/>
                <w:highlight w:val="none"/>
                <w:lang w:val="en-US" w:eastAsia="zh-CN"/>
              </w:rPr>
              <w:t>施工工艺流程及产污节点见图2-</w:t>
            </w:r>
            <w:r>
              <w:rPr>
                <w:rFonts w:hint="eastAsia" w:ascii="Times New Roman" w:hAnsi="Times New Roman" w:eastAsia="宋体"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lang w:val="en-US" w:eastAsia="zh-CN"/>
              </w:rPr>
              <w:t>。</w:t>
            </w:r>
          </w:p>
          <w:p w14:paraId="63850F96">
            <w:pPr>
              <w:keepNext w:val="0"/>
              <w:keepLines w:val="0"/>
              <w:pageBreakBefore w:val="0"/>
              <w:widowControl w:val="0"/>
              <w:wordWrap/>
              <w:topLinePunct w:val="0"/>
              <w:bidi w:val="0"/>
              <w:spacing w:line="360" w:lineRule="auto"/>
              <w:rPr>
                <w:rFonts w:hint="default" w:ascii="Times New Roman" w:hAnsi="Times New Roman" w:eastAsia="宋体" w:cs="Times New Roman"/>
                <w:bCs/>
                <w:color w:val="auto"/>
                <w:sz w:val="24"/>
                <w:highlight w:val="none"/>
                <w:lang w:val="en-US" w:eastAsia="zh-CN"/>
              </w:rPr>
            </w:pPr>
            <w:r>
              <w:rPr>
                <w:rFonts w:hint="default" w:ascii="Times New Roman" w:hAnsi="Times New Roman" w:cs="Times New Roman"/>
                <w:color w:val="auto"/>
                <w:highlight w:val="none"/>
              </w:rPr>
              <w:drawing>
                <wp:inline distT="0" distB="0" distL="114300" distR="114300">
                  <wp:extent cx="5026660" cy="1177925"/>
                  <wp:effectExtent l="0" t="0" r="2540" b="317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4"/>
                          <a:stretch>
                            <a:fillRect/>
                          </a:stretch>
                        </pic:blipFill>
                        <pic:spPr>
                          <a:xfrm>
                            <a:off x="0" y="0"/>
                            <a:ext cx="5026660" cy="1177925"/>
                          </a:xfrm>
                          <a:prstGeom prst="rect">
                            <a:avLst/>
                          </a:prstGeom>
                          <a:noFill/>
                          <a:ln>
                            <a:noFill/>
                          </a:ln>
                        </pic:spPr>
                      </pic:pic>
                    </a:graphicData>
                  </a:graphic>
                </wp:inline>
              </w:drawing>
            </w:r>
          </w:p>
          <w:p w14:paraId="154813D6">
            <w:pPr>
              <w:keepNext w:val="0"/>
              <w:keepLines w:val="0"/>
              <w:pageBreakBefore w:val="0"/>
              <w:widowControl w:val="0"/>
              <w:wordWrap/>
              <w:topLinePunct w:val="0"/>
              <w:bidi w:val="0"/>
              <w:spacing w:line="360" w:lineRule="auto"/>
              <w:ind w:firstLine="422" w:firstLineChars="200"/>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图2-</w:t>
            </w:r>
            <w:r>
              <w:rPr>
                <w:rFonts w:hint="eastAsia" w:ascii="Times New Roman" w:hAnsi="Times New Roman" w:eastAsia="宋体" w:cs="Times New Roman"/>
                <w:b/>
                <w:bCs w:val="0"/>
                <w:color w:val="auto"/>
                <w:sz w:val="21"/>
                <w:szCs w:val="21"/>
                <w:highlight w:val="none"/>
                <w:lang w:val="en-US" w:eastAsia="zh-CN"/>
              </w:rPr>
              <w:t>4</w:t>
            </w:r>
            <w:r>
              <w:rPr>
                <w:rFonts w:hint="default" w:ascii="Times New Roman" w:hAnsi="Times New Roman" w:eastAsia="宋体" w:cs="Times New Roman"/>
                <w:b/>
                <w:bCs w:val="0"/>
                <w:color w:val="auto"/>
                <w:sz w:val="21"/>
                <w:szCs w:val="21"/>
                <w:highlight w:val="none"/>
                <w:lang w:val="en-US" w:eastAsia="zh-CN"/>
              </w:rPr>
              <w:t xml:space="preserve">  </w:t>
            </w:r>
            <w:r>
              <w:rPr>
                <w:rFonts w:hint="eastAsia" w:ascii="Times New Roman" w:hAnsi="Times New Roman" w:eastAsia="宋体" w:cs="Times New Roman"/>
                <w:b/>
                <w:bCs w:val="0"/>
                <w:color w:val="auto"/>
                <w:sz w:val="21"/>
                <w:szCs w:val="21"/>
                <w:highlight w:val="none"/>
                <w:lang w:val="en-US" w:eastAsia="zh-CN"/>
              </w:rPr>
              <w:t>储能电站</w:t>
            </w:r>
            <w:r>
              <w:rPr>
                <w:rFonts w:hint="default" w:ascii="Times New Roman" w:hAnsi="Times New Roman" w:eastAsia="宋体" w:cs="Times New Roman"/>
                <w:b/>
                <w:bCs w:val="0"/>
                <w:color w:val="auto"/>
                <w:sz w:val="21"/>
                <w:szCs w:val="21"/>
                <w:highlight w:val="none"/>
                <w:lang w:val="en-US" w:eastAsia="zh-CN"/>
              </w:rPr>
              <w:t>施工工艺流程及产污节点图</w:t>
            </w:r>
          </w:p>
          <w:p w14:paraId="453382EC">
            <w:pPr>
              <w:keepNext w:val="0"/>
              <w:keepLines w:val="0"/>
              <w:pageBreakBefore w:val="0"/>
              <w:widowControl w:val="0"/>
              <w:wordWrap/>
              <w:topLinePunct w:val="0"/>
              <w:bidi w:val="0"/>
              <w:spacing w:line="360" w:lineRule="auto"/>
              <w:rPr>
                <w:rFonts w:hint="default" w:ascii="Times New Roman" w:hAnsi="Times New Roman" w:eastAsia="宋体" w:cs="Times New Roman"/>
                <w:b/>
                <w:bCs w:val="0"/>
                <w:i w:val="0"/>
                <w:iCs w:val="0"/>
                <w:color w:val="auto"/>
                <w:sz w:val="24"/>
                <w:szCs w:val="24"/>
                <w:highlight w:val="none"/>
                <w:lang w:val="en-US" w:eastAsia="zh-CN"/>
              </w:rPr>
            </w:pPr>
            <w:r>
              <w:rPr>
                <w:rFonts w:hint="eastAsia" w:eastAsia="宋体" w:cs="Times New Roman"/>
                <w:b/>
                <w:bCs w:val="0"/>
                <w:i w:val="0"/>
                <w:iCs w:val="0"/>
                <w:color w:val="auto"/>
                <w:sz w:val="24"/>
                <w:szCs w:val="24"/>
                <w:highlight w:val="none"/>
                <w:lang w:val="en-US" w:eastAsia="zh-CN"/>
              </w:rPr>
              <w:t>2.</w:t>
            </w:r>
            <w:r>
              <w:rPr>
                <w:rFonts w:hint="default" w:ascii="Times New Roman" w:hAnsi="Times New Roman" w:eastAsia="宋体" w:cs="Times New Roman"/>
                <w:b/>
                <w:bCs w:val="0"/>
                <w:i w:val="0"/>
                <w:iCs w:val="0"/>
                <w:color w:val="auto"/>
                <w:sz w:val="24"/>
                <w:szCs w:val="24"/>
                <w:highlight w:val="none"/>
                <w:lang w:val="en-US" w:eastAsia="zh-CN"/>
              </w:rPr>
              <w:t>建设周期</w:t>
            </w:r>
          </w:p>
          <w:p w14:paraId="60FCF749">
            <w:pPr>
              <w:keepNext w:val="0"/>
              <w:keepLines w:val="0"/>
              <w:pageBreakBefore w:val="0"/>
              <w:widowControl w:val="0"/>
              <w:wordWrap/>
              <w:topLinePunct w:val="0"/>
              <w:bidi w:val="0"/>
              <w:spacing w:line="360" w:lineRule="auto"/>
              <w:ind w:firstLine="456" w:firstLineChars="200"/>
              <w:rPr>
                <w:rFonts w:hint="default" w:ascii="Times New Roman" w:hAnsi="Times New Roman" w:cs="Times New Roman"/>
                <w:color w:val="auto"/>
                <w:kern w:val="0"/>
                <w:szCs w:val="21"/>
                <w:highlight w:val="none"/>
                <w:lang w:val="en-US" w:eastAsia="zh-CN"/>
              </w:rPr>
            </w:pPr>
            <w:r>
              <w:rPr>
                <w:rFonts w:hint="eastAsia" w:eastAsia="宋体" w:cs="Times New Roman"/>
                <w:bCs/>
                <w:color w:val="auto"/>
                <w:spacing w:val="-6"/>
                <w:sz w:val="24"/>
                <w:highlight w:val="none"/>
                <w:lang w:val="en-US" w:eastAsia="zh-CN"/>
              </w:rPr>
              <w:t>本项目</w:t>
            </w:r>
            <w:r>
              <w:rPr>
                <w:rFonts w:hint="default" w:ascii="Times New Roman" w:hAnsi="Times New Roman" w:eastAsia="宋体" w:cs="Times New Roman"/>
                <w:bCs/>
                <w:color w:val="auto"/>
                <w:spacing w:val="-6"/>
                <w:sz w:val="24"/>
                <w:highlight w:val="none"/>
                <w:lang w:val="en-US" w:eastAsia="zh-CN"/>
              </w:rPr>
              <w:t>计划建设周期为6个月，预计202</w:t>
            </w:r>
            <w:r>
              <w:rPr>
                <w:rFonts w:hint="eastAsia" w:eastAsia="宋体" w:cs="Times New Roman"/>
                <w:bCs/>
                <w:color w:val="auto"/>
                <w:spacing w:val="-6"/>
                <w:sz w:val="24"/>
                <w:highlight w:val="none"/>
                <w:lang w:val="en-US" w:eastAsia="zh-CN"/>
              </w:rPr>
              <w:t>5</w:t>
            </w:r>
            <w:r>
              <w:rPr>
                <w:rFonts w:hint="default" w:ascii="Times New Roman" w:hAnsi="Times New Roman" w:eastAsia="宋体" w:cs="Times New Roman"/>
                <w:bCs/>
                <w:color w:val="auto"/>
                <w:spacing w:val="-6"/>
                <w:sz w:val="24"/>
                <w:highlight w:val="none"/>
                <w:lang w:val="en-US" w:eastAsia="zh-CN"/>
              </w:rPr>
              <w:t>年</w:t>
            </w:r>
            <w:r>
              <w:rPr>
                <w:rFonts w:hint="eastAsia" w:eastAsia="宋体" w:cs="Times New Roman"/>
                <w:bCs/>
                <w:color w:val="auto"/>
                <w:spacing w:val="-6"/>
                <w:sz w:val="24"/>
                <w:highlight w:val="none"/>
                <w:lang w:val="en-US" w:eastAsia="zh-CN"/>
              </w:rPr>
              <w:t>4</w:t>
            </w:r>
            <w:r>
              <w:rPr>
                <w:rFonts w:hint="default" w:ascii="Times New Roman" w:hAnsi="Times New Roman" w:eastAsia="宋体" w:cs="Times New Roman"/>
                <w:bCs/>
                <w:color w:val="auto"/>
                <w:spacing w:val="-6"/>
                <w:sz w:val="24"/>
                <w:highlight w:val="none"/>
                <w:lang w:val="en-US" w:eastAsia="zh-CN"/>
              </w:rPr>
              <w:t>月初开工，预计202</w:t>
            </w:r>
            <w:r>
              <w:rPr>
                <w:rFonts w:hint="eastAsia" w:eastAsia="宋体" w:cs="Times New Roman"/>
                <w:bCs/>
                <w:color w:val="auto"/>
                <w:spacing w:val="-6"/>
                <w:sz w:val="24"/>
                <w:highlight w:val="none"/>
                <w:lang w:val="en-US" w:eastAsia="zh-CN"/>
              </w:rPr>
              <w:t>5</w:t>
            </w:r>
            <w:r>
              <w:rPr>
                <w:rFonts w:hint="default" w:ascii="Times New Roman" w:hAnsi="Times New Roman" w:eastAsia="宋体" w:cs="Times New Roman"/>
                <w:bCs/>
                <w:color w:val="auto"/>
                <w:spacing w:val="-6"/>
                <w:sz w:val="24"/>
                <w:highlight w:val="none"/>
                <w:lang w:val="en-US" w:eastAsia="zh-CN"/>
              </w:rPr>
              <w:t>年</w:t>
            </w:r>
            <w:r>
              <w:rPr>
                <w:rFonts w:hint="eastAsia" w:eastAsia="宋体" w:cs="Times New Roman"/>
                <w:bCs/>
                <w:color w:val="auto"/>
                <w:spacing w:val="-6"/>
                <w:sz w:val="24"/>
                <w:highlight w:val="none"/>
                <w:lang w:val="en-US" w:eastAsia="zh-CN"/>
              </w:rPr>
              <w:t>10</w:t>
            </w:r>
            <w:r>
              <w:rPr>
                <w:rFonts w:hint="default" w:ascii="Times New Roman" w:hAnsi="Times New Roman" w:eastAsia="宋体" w:cs="Times New Roman"/>
                <w:bCs/>
                <w:color w:val="auto"/>
                <w:spacing w:val="-6"/>
                <w:sz w:val="24"/>
                <w:highlight w:val="none"/>
                <w:lang w:val="en-US" w:eastAsia="zh-CN"/>
              </w:rPr>
              <w:t>月底完工。</w:t>
            </w:r>
          </w:p>
        </w:tc>
      </w:tr>
      <w:tr w14:paraId="77B4EF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7" w:hRule="atLeast"/>
          <w:jc w:val="center"/>
        </w:trPr>
        <w:tc>
          <w:tcPr>
            <w:tcW w:w="264" w:type="pct"/>
            <w:noWrap w:val="0"/>
            <w:vAlign w:val="center"/>
          </w:tcPr>
          <w:p w14:paraId="07AEA2DC">
            <w:pPr>
              <w:keepNext w:val="0"/>
              <w:keepLines w:val="0"/>
              <w:pageBreakBefore w:val="0"/>
              <w:widowControl w:val="0"/>
              <w:wordWrap/>
              <w:topLinePunct w:val="0"/>
              <w:bidi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4"/>
                <w:szCs w:val="24"/>
                <w:highlight w:val="none"/>
              </w:rPr>
              <w:t>其他</w:t>
            </w:r>
          </w:p>
        </w:tc>
        <w:tc>
          <w:tcPr>
            <w:tcW w:w="4735" w:type="pct"/>
            <w:noWrap w:val="0"/>
            <w:vAlign w:val="center"/>
          </w:tcPr>
          <w:p w14:paraId="042F50FC">
            <w:pPr>
              <w:bidi w:val="0"/>
              <w:rPr>
                <w:rFonts w:hint="eastAsia"/>
                <w:lang w:val="en-US" w:eastAsia="zh-CN"/>
              </w:rPr>
            </w:pPr>
          </w:p>
          <w:p w14:paraId="7CED8510">
            <w:pPr>
              <w:bidi w:val="0"/>
              <w:rPr>
                <w:rFonts w:hint="eastAsia"/>
                <w:lang w:val="en-US" w:eastAsia="zh-CN"/>
              </w:rPr>
            </w:pPr>
          </w:p>
          <w:p w14:paraId="53DB37E8">
            <w:pPr>
              <w:bidi w:val="0"/>
              <w:rPr>
                <w:rFonts w:hint="eastAsia"/>
                <w:lang w:val="en-US" w:eastAsia="zh-CN"/>
              </w:rPr>
            </w:pPr>
          </w:p>
          <w:p w14:paraId="29A23BC0">
            <w:pPr>
              <w:bidi w:val="0"/>
              <w:rPr>
                <w:rFonts w:hint="eastAsia"/>
                <w:lang w:val="en-US" w:eastAsia="zh-CN"/>
              </w:rPr>
            </w:pPr>
          </w:p>
          <w:p w14:paraId="5A5FAD43">
            <w:pPr>
              <w:bidi w:val="0"/>
              <w:rPr>
                <w:rFonts w:hint="eastAsia"/>
                <w:lang w:val="en-US" w:eastAsia="zh-CN"/>
              </w:rPr>
            </w:pPr>
          </w:p>
          <w:p w14:paraId="3E11A6EB">
            <w:pPr>
              <w:bidi w:val="0"/>
              <w:rPr>
                <w:rFonts w:hint="eastAsia"/>
                <w:lang w:val="en-US" w:eastAsia="zh-CN"/>
              </w:rPr>
            </w:pPr>
          </w:p>
          <w:p w14:paraId="41B74CFC">
            <w:pPr>
              <w:bidi w:val="0"/>
              <w:rPr>
                <w:rFonts w:hint="eastAsia"/>
                <w:lang w:val="en-US" w:eastAsia="zh-CN"/>
              </w:rPr>
            </w:pPr>
          </w:p>
          <w:p w14:paraId="7CC3B109">
            <w:pPr>
              <w:bidi w:val="0"/>
              <w:rPr>
                <w:rFonts w:hint="eastAsia"/>
                <w:lang w:val="en-US" w:eastAsia="zh-CN"/>
              </w:rPr>
            </w:pPr>
          </w:p>
          <w:p w14:paraId="59A947D5">
            <w:pPr>
              <w:bidi w:val="0"/>
              <w:rPr>
                <w:rFonts w:hint="eastAsia"/>
                <w:lang w:val="en-US" w:eastAsia="zh-CN"/>
              </w:rPr>
            </w:pPr>
          </w:p>
          <w:p w14:paraId="0A3D8736">
            <w:pPr>
              <w:bidi w:val="0"/>
              <w:rPr>
                <w:rFonts w:hint="eastAsia"/>
                <w:lang w:val="en-US" w:eastAsia="zh-CN"/>
              </w:rPr>
            </w:pPr>
          </w:p>
          <w:p w14:paraId="426C4FD2">
            <w:pPr>
              <w:bidi w:val="0"/>
              <w:rPr>
                <w:rFonts w:hint="eastAsia"/>
                <w:lang w:val="en-US" w:eastAsia="zh-CN"/>
              </w:rPr>
            </w:pPr>
          </w:p>
          <w:p w14:paraId="38682546">
            <w:pPr>
              <w:bidi w:val="0"/>
              <w:rPr>
                <w:rFonts w:hint="eastAsia"/>
                <w:lang w:val="en-US" w:eastAsia="zh-CN"/>
              </w:rPr>
            </w:pPr>
            <w:r>
              <w:rPr>
                <w:rFonts w:hint="eastAsia"/>
                <w:lang w:val="en-US" w:eastAsia="zh-CN"/>
              </w:rPr>
              <w:br w:type="textWrapping"/>
            </w:r>
          </w:p>
          <w:p w14:paraId="6B740470">
            <w:pPr>
              <w:bidi w:val="0"/>
              <w:rPr>
                <w:rFonts w:hint="eastAsia"/>
                <w:sz w:val="24"/>
                <w:szCs w:val="24"/>
                <w:lang w:val="en-US" w:eastAsia="zh-CN"/>
              </w:rPr>
            </w:pPr>
            <w:r>
              <w:rPr>
                <w:rFonts w:hint="eastAsia"/>
                <w:sz w:val="24"/>
                <w:szCs w:val="24"/>
                <w:lang w:val="en-US" w:eastAsia="zh-CN"/>
              </w:rPr>
              <w:t>无。</w:t>
            </w:r>
          </w:p>
          <w:p w14:paraId="3EC43BC7">
            <w:pPr>
              <w:bidi w:val="0"/>
              <w:rPr>
                <w:rFonts w:hint="eastAsia"/>
                <w:lang w:val="en-US" w:eastAsia="zh-CN"/>
              </w:rPr>
            </w:pPr>
          </w:p>
          <w:p w14:paraId="07836BFD">
            <w:pPr>
              <w:bidi w:val="0"/>
              <w:rPr>
                <w:rFonts w:hint="eastAsia"/>
                <w:lang w:val="en-US" w:eastAsia="zh-CN"/>
              </w:rPr>
            </w:pPr>
          </w:p>
          <w:p w14:paraId="1140C6C4">
            <w:pPr>
              <w:pStyle w:val="23"/>
              <w:rPr>
                <w:rFonts w:hint="eastAsia"/>
                <w:lang w:val="en-US" w:eastAsia="zh-CN"/>
              </w:rPr>
            </w:pPr>
          </w:p>
          <w:p w14:paraId="5D0F00E5">
            <w:pPr>
              <w:bidi w:val="0"/>
              <w:rPr>
                <w:rFonts w:hint="eastAsia"/>
                <w:lang w:val="en-US" w:eastAsia="zh-CN"/>
              </w:rPr>
            </w:pPr>
          </w:p>
          <w:p w14:paraId="3403D898">
            <w:pPr>
              <w:bidi w:val="0"/>
              <w:rPr>
                <w:rFonts w:hint="eastAsia"/>
                <w:lang w:val="en-US" w:eastAsia="zh-CN"/>
              </w:rPr>
            </w:pPr>
          </w:p>
          <w:p w14:paraId="693EAE03">
            <w:pPr>
              <w:bidi w:val="0"/>
              <w:rPr>
                <w:rFonts w:hint="eastAsia"/>
                <w:lang w:val="en-US" w:eastAsia="zh-CN"/>
              </w:rPr>
            </w:pPr>
          </w:p>
          <w:p w14:paraId="112AC07B">
            <w:pPr>
              <w:bidi w:val="0"/>
              <w:rPr>
                <w:rFonts w:hint="eastAsia"/>
                <w:lang w:val="en-US" w:eastAsia="zh-CN"/>
              </w:rPr>
            </w:pPr>
          </w:p>
          <w:p w14:paraId="2549729B">
            <w:pPr>
              <w:bidi w:val="0"/>
              <w:rPr>
                <w:rFonts w:hint="eastAsia"/>
                <w:lang w:val="en-US" w:eastAsia="zh-CN"/>
              </w:rPr>
            </w:pPr>
          </w:p>
          <w:p w14:paraId="6A7769E9">
            <w:pPr>
              <w:bidi w:val="0"/>
              <w:rPr>
                <w:rFonts w:hint="eastAsia"/>
                <w:lang w:val="en-US" w:eastAsia="zh-CN"/>
              </w:rPr>
            </w:pPr>
          </w:p>
          <w:p w14:paraId="46A67F68">
            <w:pPr>
              <w:bidi w:val="0"/>
              <w:rPr>
                <w:rFonts w:hint="eastAsia"/>
                <w:lang w:val="en-US" w:eastAsia="zh-CN"/>
              </w:rPr>
            </w:pPr>
          </w:p>
          <w:p w14:paraId="2AE166E6">
            <w:pPr>
              <w:bidi w:val="0"/>
              <w:rPr>
                <w:rFonts w:hint="default"/>
                <w:lang w:val="en-US" w:eastAsia="zh-CN"/>
              </w:rPr>
            </w:pPr>
          </w:p>
        </w:tc>
      </w:tr>
    </w:tbl>
    <w:p w14:paraId="0629C9F4">
      <w:pPr>
        <w:pStyle w:val="16"/>
        <w:keepNext w:val="0"/>
        <w:keepLines w:val="0"/>
        <w:pageBreakBefore w:val="0"/>
        <w:widowControl w:val="0"/>
        <w:wordWrap/>
        <w:topLinePunct w:val="0"/>
        <w:bidi w:val="0"/>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仿宋_GB2312" w:cs="Times New Roman"/>
          <w:b/>
          <w:bCs/>
          <w:color w:val="auto"/>
          <w:highlight w:val="none"/>
        </w:rPr>
        <w:br w:type="page"/>
      </w:r>
      <w:bookmarkStart w:id="14" w:name="_Toc12555"/>
      <w:r>
        <w:rPr>
          <w:rFonts w:hint="default" w:ascii="Times New Roman" w:hAnsi="Times New Roman" w:eastAsia="黑体" w:cs="Times New Roman"/>
          <w:snapToGrid w:val="0"/>
          <w:color w:val="auto"/>
          <w:sz w:val="30"/>
          <w:szCs w:val="30"/>
          <w:highlight w:val="none"/>
        </w:rPr>
        <w:t>三、生态环境现状、保护目标及评价标准</w:t>
      </w:r>
      <w:bookmarkEnd w:id="14"/>
    </w:p>
    <w:tbl>
      <w:tblPr>
        <w:tblStyle w:val="18"/>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02"/>
        <w:gridCol w:w="8017"/>
      </w:tblGrid>
      <w:tr w14:paraId="3E5494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294" w:type="pct"/>
            <w:noWrap w:val="0"/>
            <w:vAlign w:val="center"/>
          </w:tcPr>
          <w:p w14:paraId="1DBF57C1">
            <w:pPr>
              <w:keepNext w:val="0"/>
              <w:keepLines w:val="0"/>
              <w:pageBreakBefore w:val="0"/>
              <w:widowControl w:val="0"/>
              <w:wordWrap/>
              <w:topLinePunct w:val="0"/>
              <w:bidi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4"/>
                <w:szCs w:val="24"/>
                <w:highlight w:val="none"/>
              </w:rPr>
              <w:t>生态环境现状</w:t>
            </w:r>
          </w:p>
        </w:tc>
        <w:tc>
          <w:tcPr>
            <w:tcW w:w="4705" w:type="pct"/>
            <w:noWrap w:val="0"/>
            <w:vAlign w:val="center"/>
          </w:tcPr>
          <w:p w14:paraId="39AEEC40">
            <w:pPr>
              <w:pStyle w:val="6"/>
              <w:keepNext w:val="0"/>
              <w:keepLines w:val="0"/>
              <w:pageBreakBefore w:val="0"/>
              <w:widowControl w:val="0"/>
              <w:wordWrap/>
              <w:topLinePunct w:val="0"/>
              <w:bidi w:val="0"/>
              <w:ind w:firstLine="480" w:firstLineChars="200"/>
              <w:rPr>
                <w:rFonts w:hint="default" w:ascii="Times New Roman" w:hAnsi="Times New Roman" w:cs="Times New Roman"/>
                <w:color w:val="auto"/>
                <w:kern w:val="2"/>
                <w:sz w:val="24"/>
                <w:szCs w:val="21"/>
                <w:highlight w:val="none"/>
              </w:rPr>
            </w:pPr>
            <w:r>
              <w:rPr>
                <w:rFonts w:hint="eastAsia" w:cs="Times New Roman"/>
                <w:color w:val="auto"/>
                <w:kern w:val="2"/>
                <w:sz w:val="24"/>
                <w:szCs w:val="21"/>
                <w:highlight w:val="none"/>
                <w:lang w:eastAsia="zh-CN"/>
              </w:rPr>
              <w:t>本项目</w:t>
            </w:r>
            <w:r>
              <w:rPr>
                <w:rFonts w:hint="default" w:ascii="Times New Roman" w:hAnsi="Times New Roman" w:cs="Times New Roman"/>
                <w:color w:val="auto"/>
                <w:kern w:val="2"/>
                <w:sz w:val="24"/>
                <w:szCs w:val="21"/>
                <w:highlight w:val="none"/>
              </w:rPr>
              <w:t xml:space="preserve">所在地环境功能属性见下表。 </w:t>
            </w:r>
          </w:p>
          <w:p w14:paraId="6833DBF8">
            <w:pPr>
              <w:keepNext w:val="0"/>
              <w:keepLines w:val="0"/>
              <w:pageBreakBefore w:val="0"/>
              <w:widowControl w:val="0"/>
              <w:wordWrap/>
              <w:topLinePunct w:val="0"/>
              <w:bidi w:val="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w:t>
            </w:r>
            <w:r>
              <w:rPr>
                <w:rFonts w:hint="default" w:ascii="Times New Roman" w:hAnsi="Times New Roman" w:cs="Times New Roman"/>
                <w:b/>
                <w:color w:val="auto"/>
                <w:sz w:val="21"/>
                <w:szCs w:val="21"/>
                <w:highlight w:val="none"/>
                <w:lang w:val="en-US" w:eastAsia="zh-CN"/>
              </w:rPr>
              <w:t xml:space="preserve">3-1 </w:t>
            </w:r>
            <w:r>
              <w:rPr>
                <w:rFonts w:hint="default" w:ascii="Times New Roman" w:hAnsi="Times New Roman" w:cs="Times New Roman"/>
                <w:b/>
                <w:color w:val="auto"/>
                <w:sz w:val="21"/>
                <w:szCs w:val="21"/>
                <w:highlight w:val="none"/>
              </w:rPr>
              <w:t xml:space="preserve"> </w:t>
            </w:r>
            <w:r>
              <w:rPr>
                <w:rFonts w:hint="eastAsia" w:cs="Times New Roman"/>
                <w:b/>
                <w:color w:val="auto"/>
                <w:sz w:val="21"/>
                <w:szCs w:val="21"/>
                <w:highlight w:val="none"/>
                <w:lang w:eastAsia="zh-CN"/>
              </w:rPr>
              <w:t>本项目</w:t>
            </w:r>
            <w:r>
              <w:rPr>
                <w:rFonts w:hint="default" w:ascii="Times New Roman" w:hAnsi="Times New Roman" w:cs="Times New Roman"/>
                <w:b/>
                <w:color w:val="auto"/>
                <w:sz w:val="21"/>
                <w:szCs w:val="21"/>
                <w:highlight w:val="none"/>
              </w:rPr>
              <w:t>所在地环境功能属性表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2998"/>
              <w:gridCol w:w="4227"/>
            </w:tblGrid>
            <w:tr w14:paraId="655F3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63" w:type="pct"/>
                  <w:noWrap w:val="0"/>
                  <w:vAlign w:val="center"/>
                </w:tcPr>
                <w:p w14:paraId="6DC66BDE">
                  <w:pPr>
                    <w:keepNext w:val="0"/>
                    <w:keepLines w:val="0"/>
                    <w:pageBreakBefore w:val="0"/>
                    <w:widowControl w:val="0"/>
                    <w:wordWrap/>
                    <w:topLinePunct w:val="0"/>
                    <w:bidi w:val="0"/>
                    <w:adjustRightInd w:val="0"/>
                    <w:snapToGrid w:val="0"/>
                    <w:ind w:left="-143" w:right="-3"/>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1923" w:type="pct"/>
                  <w:noWrap w:val="0"/>
                  <w:vAlign w:val="center"/>
                </w:tcPr>
                <w:p w14:paraId="34A62163">
                  <w:pPr>
                    <w:keepNext w:val="0"/>
                    <w:keepLines w:val="0"/>
                    <w:pageBreakBefore w:val="0"/>
                    <w:widowControl w:val="0"/>
                    <w:wordWrap/>
                    <w:topLinePunct w:val="0"/>
                    <w:bidi w:val="0"/>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功能区类别</w:t>
                  </w:r>
                </w:p>
              </w:tc>
              <w:tc>
                <w:tcPr>
                  <w:tcW w:w="2712" w:type="pct"/>
                  <w:noWrap w:val="0"/>
                  <w:vAlign w:val="center"/>
                </w:tcPr>
                <w:p w14:paraId="0653DD63">
                  <w:pPr>
                    <w:keepNext w:val="0"/>
                    <w:keepLines w:val="0"/>
                    <w:pageBreakBefore w:val="0"/>
                    <w:widowControl w:val="0"/>
                    <w:wordWrap/>
                    <w:topLinePunct w:val="0"/>
                    <w:bidi w:val="0"/>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功能区分类及执行标准</w:t>
                  </w:r>
                </w:p>
              </w:tc>
            </w:tr>
            <w:tr w14:paraId="146E5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63" w:type="pct"/>
                  <w:noWrap w:val="0"/>
                  <w:vAlign w:val="center"/>
                </w:tcPr>
                <w:p w14:paraId="2DB2ABA9">
                  <w:pPr>
                    <w:keepNext w:val="0"/>
                    <w:keepLines w:val="0"/>
                    <w:pageBreakBefore w:val="0"/>
                    <w:widowControl w:val="0"/>
                    <w:wordWrap/>
                    <w:topLinePunct w:val="0"/>
                    <w:bidi w:val="0"/>
                    <w:adjustRightInd w:val="0"/>
                    <w:snapToGrid w:val="0"/>
                    <w:ind w:right="-3"/>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1923" w:type="pct"/>
                  <w:noWrap w:val="0"/>
                  <w:vAlign w:val="center"/>
                </w:tcPr>
                <w:p w14:paraId="4D0224A4">
                  <w:pPr>
                    <w:keepNext w:val="0"/>
                    <w:keepLines w:val="0"/>
                    <w:pageBreakBefore w:val="0"/>
                    <w:widowControl w:val="0"/>
                    <w:wordWrap/>
                    <w:topLinePunct w:val="0"/>
                    <w:bidi w:val="0"/>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水功能区</w:t>
                  </w:r>
                </w:p>
              </w:tc>
              <w:tc>
                <w:tcPr>
                  <w:tcW w:w="2712" w:type="pct"/>
                  <w:noWrap w:val="0"/>
                  <w:vAlign w:val="center"/>
                </w:tcPr>
                <w:p w14:paraId="4548AB99">
                  <w:pPr>
                    <w:keepNext w:val="0"/>
                    <w:keepLines w:val="0"/>
                    <w:pageBreakBefore w:val="0"/>
                    <w:widowControl w:val="0"/>
                    <w:wordWrap/>
                    <w:topLinePunct w:val="0"/>
                    <w:autoSpaceDE w:val="0"/>
                    <w:autoSpaceDN w:val="0"/>
                    <w:bidi w:val="0"/>
                    <w:adjustRightInd w:val="0"/>
                    <w:jc w:val="center"/>
                    <w:rPr>
                      <w:rFonts w:hint="default" w:ascii="Times New Roman" w:hAnsi="Times New Roman" w:cs="Times New Roman"/>
                      <w:color w:val="auto"/>
                      <w:kern w:val="0"/>
                      <w:highlight w:val="none"/>
                    </w:rPr>
                  </w:pPr>
                  <w:r>
                    <w:rPr>
                      <w:rFonts w:hint="default" w:ascii="Times New Roman" w:hAnsi="Times New Roman" w:cs="Times New Roman"/>
                      <w:color w:val="auto"/>
                      <w:szCs w:val="24"/>
                      <w:highlight w:val="none"/>
                      <w:lang w:val="en-US" w:eastAsia="zh-CN"/>
                    </w:rPr>
                    <w:t>地下水执行</w:t>
                  </w:r>
                  <w:r>
                    <w:rPr>
                      <w:rFonts w:hint="default" w:ascii="Times New Roman" w:hAnsi="Times New Roman" w:cs="Times New Roman"/>
                      <w:color w:val="auto"/>
                      <w:szCs w:val="24"/>
                      <w:highlight w:val="none"/>
                    </w:rPr>
                    <w:t>《地下水质量标准》（GB/T14848-2017）中的Ⅲ类标准。</w:t>
                  </w:r>
                </w:p>
              </w:tc>
            </w:tr>
            <w:tr w14:paraId="67950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63" w:type="pct"/>
                  <w:noWrap w:val="0"/>
                  <w:vAlign w:val="center"/>
                </w:tcPr>
                <w:p w14:paraId="4629C757">
                  <w:pPr>
                    <w:keepNext w:val="0"/>
                    <w:keepLines w:val="0"/>
                    <w:pageBreakBefore w:val="0"/>
                    <w:widowControl w:val="0"/>
                    <w:wordWrap/>
                    <w:topLinePunct w:val="0"/>
                    <w:bidi w:val="0"/>
                    <w:adjustRightInd w:val="0"/>
                    <w:snapToGrid w:val="0"/>
                    <w:ind w:right="-3"/>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1923" w:type="pct"/>
                  <w:noWrap w:val="0"/>
                  <w:vAlign w:val="center"/>
                </w:tcPr>
                <w:p w14:paraId="49827E0D">
                  <w:pPr>
                    <w:keepNext w:val="0"/>
                    <w:keepLines w:val="0"/>
                    <w:pageBreakBefore w:val="0"/>
                    <w:widowControl w:val="0"/>
                    <w:wordWrap/>
                    <w:topLinePunct w:val="0"/>
                    <w:bidi w:val="0"/>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大气功能区</w:t>
                  </w:r>
                </w:p>
              </w:tc>
              <w:tc>
                <w:tcPr>
                  <w:tcW w:w="2712" w:type="pct"/>
                  <w:noWrap w:val="0"/>
                  <w:vAlign w:val="center"/>
                </w:tcPr>
                <w:p w14:paraId="769925A3">
                  <w:pPr>
                    <w:keepNext w:val="0"/>
                    <w:keepLines w:val="0"/>
                    <w:pageBreakBefore w:val="0"/>
                    <w:widowControl w:val="0"/>
                    <w:wordWrap/>
                    <w:topLinePunct w:val="0"/>
                    <w:bidi w:val="0"/>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二类区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执行《环境空气质量标准》（GB3095-2012）二级标准</w:t>
                  </w:r>
                </w:p>
              </w:tc>
            </w:tr>
            <w:tr w14:paraId="425F1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63" w:type="pct"/>
                  <w:noWrap w:val="0"/>
                  <w:vAlign w:val="center"/>
                </w:tcPr>
                <w:p w14:paraId="5432DB60">
                  <w:pPr>
                    <w:keepNext w:val="0"/>
                    <w:keepLines w:val="0"/>
                    <w:pageBreakBefore w:val="0"/>
                    <w:widowControl w:val="0"/>
                    <w:wordWrap/>
                    <w:topLinePunct w:val="0"/>
                    <w:bidi w:val="0"/>
                    <w:adjustRightInd w:val="0"/>
                    <w:snapToGrid w:val="0"/>
                    <w:ind w:right="-3"/>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1923" w:type="pct"/>
                  <w:noWrap w:val="0"/>
                  <w:vAlign w:val="center"/>
                </w:tcPr>
                <w:p w14:paraId="3240E2D5">
                  <w:pPr>
                    <w:keepNext w:val="0"/>
                    <w:keepLines w:val="0"/>
                    <w:pageBreakBefore w:val="0"/>
                    <w:widowControl w:val="0"/>
                    <w:wordWrap/>
                    <w:topLinePunct w:val="0"/>
                    <w:bidi w:val="0"/>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声环境功能区</w:t>
                  </w:r>
                </w:p>
              </w:tc>
              <w:tc>
                <w:tcPr>
                  <w:tcW w:w="2712" w:type="pct"/>
                  <w:noWrap w:val="0"/>
                  <w:vAlign w:val="center"/>
                </w:tcPr>
                <w:p w14:paraId="5C352D55">
                  <w:pPr>
                    <w:keepNext w:val="0"/>
                    <w:keepLines w:val="0"/>
                    <w:pageBreakBefore w:val="0"/>
                    <w:widowControl w:val="0"/>
                    <w:wordWrap/>
                    <w:topLinePunct w:val="0"/>
                    <w:bidi w:val="0"/>
                    <w:adjustRightInd w:val="0"/>
                    <w:snapToGrid w:val="0"/>
                    <w:jc w:val="center"/>
                    <w:rPr>
                      <w:rFonts w:hint="default" w:ascii="Times New Roman" w:hAnsi="Times New Roman" w:cs="Times New Roman"/>
                      <w:color w:val="auto"/>
                      <w:highlight w:val="none"/>
                    </w:rPr>
                  </w:pPr>
                  <w:r>
                    <w:rPr>
                      <w:rFonts w:hint="eastAsia" w:cs="Times New Roman"/>
                      <w:color w:val="auto"/>
                      <w:highlight w:val="none"/>
                      <w:lang w:val="en-US" w:eastAsia="zh-CN"/>
                    </w:rPr>
                    <w:t>3</w:t>
                  </w:r>
                  <w:r>
                    <w:rPr>
                      <w:rFonts w:hint="default" w:ascii="Times New Roman" w:hAnsi="Times New Roman" w:cs="Times New Roman"/>
                      <w:color w:val="auto"/>
                      <w:highlight w:val="none"/>
                    </w:rPr>
                    <w:t>类区，执行《声环境质量标准》（GB3096-2008）</w:t>
                  </w:r>
                  <w:r>
                    <w:rPr>
                      <w:rFonts w:hint="eastAsia" w:cs="Times New Roman"/>
                      <w:color w:val="auto"/>
                      <w:highlight w:val="none"/>
                      <w:lang w:val="en-US" w:eastAsia="zh-CN"/>
                    </w:rPr>
                    <w:t>3</w:t>
                  </w:r>
                  <w:r>
                    <w:rPr>
                      <w:rFonts w:hint="default" w:ascii="Times New Roman" w:hAnsi="Times New Roman" w:cs="Times New Roman"/>
                      <w:color w:val="auto"/>
                      <w:highlight w:val="none"/>
                    </w:rPr>
                    <w:t>类标准</w:t>
                  </w:r>
                </w:p>
              </w:tc>
            </w:tr>
            <w:tr w14:paraId="2C3A9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63" w:type="pct"/>
                  <w:noWrap w:val="0"/>
                  <w:vAlign w:val="center"/>
                </w:tcPr>
                <w:p w14:paraId="7140A764">
                  <w:pPr>
                    <w:keepNext w:val="0"/>
                    <w:keepLines w:val="0"/>
                    <w:pageBreakBefore w:val="0"/>
                    <w:widowControl w:val="0"/>
                    <w:wordWrap/>
                    <w:topLinePunct w:val="0"/>
                    <w:bidi w:val="0"/>
                    <w:adjustRightInd w:val="0"/>
                    <w:snapToGrid w:val="0"/>
                    <w:ind w:right="-3"/>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c>
                <w:tcPr>
                  <w:tcW w:w="1923" w:type="pct"/>
                  <w:noWrap w:val="0"/>
                  <w:vAlign w:val="center"/>
                </w:tcPr>
                <w:p w14:paraId="77D5411A">
                  <w:pPr>
                    <w:keepNext w:val="0"/>
                    <w:keepLines w:val="0"/>
                    <w:pageBreakBefore w:val="0"/>
                    <w:widowControl w:val="0"/>
                    <w:wordWrap/>
                    <w:topLinePunct w:val="0"/>
                    <w:bidi w:val="0"/>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是否基本农田保护区</w:t>
                  </w:r>
                </w:p>
              </w:tc>
              <w:tc>
                <w:tcPr>
                  <w:tcW w:w="2712" w:type="pct"/>
                  <w:noWrap w:val="0"/>
                  <w:vAlign w:val="center"/>
                </w:tcPr>
                <w:p w14:paraId="52607119">
                  <w:pPr>
                    <w:keepNext w:val="0"/>
                    <w:keepLines w:val="0"/>
                    <w:pageBreakBefore w:val="0"/>
                    <w:widowControl w:val="0"/>
                    <w:wordWrap/>
                    <w:topLinePunct w:val="0"/>
                    <w:bidi w:val="0"/>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否</w:t>
                  </w:r>
                </w:p>
              </w:tc>
            </w:tr>
            <w:tr w14:paraId="74904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63" w:type="pct"/>
                  <w:noWrap w:val="0"/>
                  <w:vAlign w:val="center"/>
                </w:tcPr>
                <w:p w14:paraId="0AF0AAD0">
                  <w:pPr>
                    <w:keepNext w:val="0"/>
                    <w:keepLines w:val="0"/>
                    <w:pageBreakBefore w:val="0"/>
                    <w:widowControl w:val="0"/>
                    <w:wordWrap/>
                    <w:topLinePunct w:val="0"/>
                    <w:bidi w:val="0"/>
                    <w:adjustRightInd w:val="0"/>
                    <w:snapToGrid w:val="0"/>
                    <w:ind w:right="-3"/>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c>
                <w:tcPr>
                  <w:tcW w:w="1923" w:type="pct"/>
                  <w:noWrap w:val="0"/>
                  <w:vAlign w:val="center"/>
                </w:tcPr>
                <w:p w14:paraId="4818B822">
                  <w:pPr>
                    <w:keepNext w:val="0"/>
                    <w:keepLines w:val="0"/>
                    <w:pageBreakBefore w:val="0"/>
                    <w:widowControl w:val="0"/>
                    <w:wordWrap/>
                    <w:topLinePunct w:val="0"/>
                    <w:bidi w:val="0"/>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是否风景名胜保护区</w:t>
                  </w:r>
                </w:p>
              </w:tc>
              <w:tc>
                <w:tcPr>
                  <w:tcW w:w="2712" w:type="pct"/>
                  <w:noWrap w:val="0"/>
                  <w:vAlign w:val="center"/>
                </w:tcPr>
                <w:p w14:paraId="6A009BFA">
                  <w:pPr>
                    <w:keepNext w:val="0"/>
                    <w:keepLines w:val="0"/>
                    <w:pageBreakBefore w:val="0"/>
                    <w:widowControl w:val="0"/>
                    <w:wordWrap/>
                    <w:topLinePunct w:val="0"/>
                    <w:bidi w:val="0"/>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否</w:t>
                  </w:r>
                </w:p>
              </w:tc>
            </w:tr>
            <w:tr w14:paraId="21F80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63" w:type="pct"/>
                  <w:noWrap w:val="0"/>
                  <w:vAlign w:val="center"/>
                </w:tcPr>
                <w:p w14:paraId="2FAFB144">
                  <w:pPr>
                    <w:keepNext w:val="0"/>
                    <w:keepLines w:val="0"/>
                    <w:pageBreakBefore w:val="0"/>
                    <w:widowControl w:val="0"/>
                    <w:wordWrap/>
                    <w:topLinePunct w:val="0"/>
                    <w:bidi w:val="0"/>
                    <w:adjustRightInd w:val="0"/>
                    <w:snapToGrid w:val="0"/>
                    <w:ind w:right="-3"/>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6</w:t>
                  </w:r>
                </w:p>
              </w:tc>
              <w:tc>
                <w:tcPr>
                  <w:tcW w:w="1923" w:type="pct"/>
                  <w:noWrap w:val="0"/>
                  <w:vAlign w:val="center"/>
                </w:tcPr>
                <w:p w14:paraId="0836497C">
                  <w:pPr>
                    <w:keepNext w:val="0"/>
                    <w:keepLines w:val="0"/>
                    <w:pageBreakBefore w:val="0"/>
                    <w:widowControl w:val="0"/>
                    <w:wordWrap/>
                    <w:topLinePunct w:val="0"/>
                    <w:bidi w:val="0"/>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是否自然保护区</w:t>
                  </w:r>
                </w:p>
              </w:tc>
              <w:tc>
                <w:tcPr>
                  <w:tcW w:w="2712" w:type="pct"/>
                  <w:noWrap w:val="0"/>
                  <w:vAlign w:val="center"/>
                </w:tcPr>
                <w:p w14:paraId="5BF44C21">
                  <w:pPr>
                    <w:keepNext w:val="0"/>
                    <w:keepLines w:val="0"/>
                    <w:pageBreakBefore w:val="0"/>
                    <w:widowControl w:val="0"/>
                    <w:wordWrap/>
                    <w:topLinePunct w:val="0"/>
                    <w:bidi w:val="0"/>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否</w:t>
                  </w:r>
                </w:p>
              </w:tc>
            </w:tr>
            <w:tr w14:paraId="2B83E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63" w:type="pct"/>
                  <w:noWrap w:val="0"/>
                  <w:vAlign w:val="center"/>
                </w:tcPr>
                <w:p w14:paraId="464AE511">
                  <w:pPr>
                    <w:keepNext w:val="0"/>
                    <w:keepLines w:val="0"/>
                    <w:pageBreakBefore w:val="0"/>
                    <w:widowControl w:val="0"/>
                    <w:wordWrap/>
                    <w:topLinePunct w:val="0"/>
                    <w:bidi w:val="0"/>
                    <w:adjustRightInd w:val="0"/>
                    <w:snapToGrid w:val="0"/>
                    <w:ind w:right="-3"/>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7</w:t>
                  </w:r>
                </w:p>
              </w:tc>
              <w:tc>
                <w:tcPr>
                  <w:tcW w:w="1923" w:type="pct"/>
                  <w:noWrap w:val="0"/>
                  <w:vAlign w:val="center"/>
                </w:tcPr>
                <w:p w14:paraId="6D59C8DF">
                  <w:pPr>
                    <w:keepNext w:val="0"/>
                    <w:keepLines w:val="0"/>
                    <w:pageBreakBefore w:val="0"/>
                    <w:widowControl w:val="0"/>
                    <w:wordWrap/>
                    <w:topLinePunct w:val="0"/>
                    <w:bidi w:val="0"/>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是否森林公园</w:t>
                  </w:r>
                </w:p>
              </w:tc>
              <w:tc>
                <w:tcPr>
                  <w:tcW w:w="2712" w:type="pct"/>
                  <w:noWrap w:val="0"/>
                  <w:vAlign w:val="center"/>
                </w:tcPr>
                <w:p w14:paraId="3098EAD8">
                  <w:pPr>
                    <w:keepNext w:val="0"/>
                    <w:keepLines w:val="0"/>
                    <w:pageBreakBefore w:val="0"/>
                    <w:widowControl w:val="0"/>
                    <w:wordWrap/>
                    <w:topLinePunct w:val="0"/>
                    <w:bidi w:val="0"/>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否</w:t>
                  </w:r>
                </w:p>
              </w:tc>
            </w:tr>
            <w:tr w14:paraId="4BB61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63" w:type="pct"/>
                  <w:noWrap w:val="0"/>
                  <w:vAlign w:val="center"/>
                </w:tcPr>
                <w:p w14:paraId="40682DDC">
                  <w:pPr>
                    <w:keepNext w:val="0"/>
                    <w:keepLines w:val="0"/>
                    <w:pageBreakBefore w:val="0"/>
                    <w:widowControl w:val="0"/>
                    <w:wordWrap/>
                    <w:topLinePunct w:val="0"/>
                    <w:bidi w:val="0"/>
                    <w:adjustRightInd w:val="0"/>
                    <w:snapToGrid w:val="0"/>
                    <w:ind w:right="-3"/>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8</w:t>
                  </w:r>
                </w:p>
              </w:tc>
              <w:tc>
                <w:tcPr>
                  <w:tcW w:w="1923" w:type="pct"/>
                  <w:noWrap w:val="0"/>
                  <w:vAlign w:val="center"/>
                </w:tcPr>
                <w:p w14:paraId="6B62C945">
                  <w:pPr>
                    <w:keepNext w:val="0"/>
                    <w:keepLines w:val="0"/>
                    <w:pageBreakBefore w:val="0"/>
                    <w:widowControl w:val="0"/>
                    <w:wordWrap/>
                    <w:topLinePunct w:val="0"/>
                    <w:bidi w:val="0"/>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是否生态功能保护区</w:t>
                  </w:r>
                </w:p>
              </w:tc>
              <w:tc>
                <w:tcPr>
                  <w:tcW w:w="2712" w:type="pct"/>
                  <w:noWrap w:val="0"/>
                  <w:vAlign w:val="center"/>
                </w:tcPr>
                <w:p w14:paraId="045050BA">
                  <w:pPr>
                    <w:keepNext w:val="0"/>
                    <w:keepLines w:val="0"/>
                    <w:pageBreakBefore w:val="0"/>
                    <w:widowControl w:val="0"/>
                    <w:wordWrap/>
                    <w:topLinePunct w:val="0"/>
                    <w:bidi w:val="0"/>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否</w:t>
                  </w:r>
                </w:p>
              </w:tc>
            </w:tr>
            <w:tr w14:paraId="3128B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63" w:type="pct"/>
                  <w:noWrap w:val="0"/>
                  <w:vAlign w:val="center"/>
                </w:tcPr>
                <w:p w14:paraId="4C125AB2">
                  <w:pPr>
                    <w:keepNext w:val="0"/>
                    <w:keepLines w:val="0"/>
                    <w:pageBreakBefore w:val="0"/>
                    <w:widowControl w:val="0"/>
                    <w:wordWrap/>
                    <w:topLinePunct w:val="0"/>
                    <w:bidi w:val="0"/>
                    <w:adjustRightInd w:val="0"/>
                    <w:snapToGrid w:val="0"/>
                    <w:ind w:right="-3"/>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9</w:t>
                  </w:r>
                </w:p>
              </w:tc>
              <w:tc>
                <w:tcPr>
                  <w:tcW w:w="1923" w:type="pct"/>
                  <w:noWrap w:val="0"/>
                  <w:vAlign w:val="center"/>
                </w:tcPr>
                <w:p w14:paraId="0A5CFF55">
                  <w:pPr>
                    <w:keepNext w:val="0"/>
                    <w:keepLines w:val="0"/>
                    <w:pageBreakBefore w:val="0"/>
                    <w:widowControl w:val="0"/>
                    <w:wordWrap/>
                    <w:topLinePunct w:val="0"/>
                    <w:bidi w:val="0"/>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是否水土流失重点防治区</w:t>
                  </w:r>
                </w:p>
              </w:tc>
              <w:tc>
                <w:tcPr>
                  <w:tcW w:w="2712" w:type="pct"/>
                  <w:noWrap w:val="0"/>
                  <w:vAlign w:val="center"/>
                </w:tcPr>
                <w:p w14:paraId="550E0C56">
                  <w:pPr>
                    <w:pStyle w:val="29"/>
                    <w:keepNext w:val="0"/>
                    <w:keepLines w:val="0"/>
                    <w:pageBreakBefore w:val="0"/>
                    <w:widowControl w:val="0"/>
                    <w:wordWrap/>
                    <w:topLinePunct w:val="0"/>
                    <w:autoSpaceDE/>
                    <w:autoSpaceDN/>
                    <w:bidi w:val="0"/>
                    <w:snapToGrid w:val="0"/>
                    <w:textAlignment w:val="auto"/>
                    <w:rPr>
                      <w:rFonts w:hint="eastAsia" w:ascii="Times New Roman" w:hAnsi="Times New Roman" w:eastAsia="宋体" w:cs="Times New Roman"/>
                      <w:color w:val="auto"/>
                      <w:kern w:val="2"/>
                      <w:position w:val="0"/>
                      <w:highlight w:val="none"/>
                      <w:lang w:val="en-US" w:eastAsia="zh-CN"/>
                    </w:rPr>
                  </w:pPr>
                  <w:r>
                    <w:rPr>
                      <w:rFonts w:hint="eastAsia" w:ascii="Times New Roman" w:cs="Times New Roman"/>
                      <w:color w:val="auto"/>
                      <w:kern w:val="2"/>
                      <w:position w:val="0"/>
                      <w:highlight w:val="none"/>
                      <w:lang w:val="en-US" w:eastAsia="zh-CN"/>
                    </w:rPr>
                    <w:t>是</w:t>
                  </w:r>
                </w:p>
              </w:tc>
            </w:tr>
            <w:tr w14:paraId="5B61E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63" w:type="pct"/>
                  <w:noWrap w:val="0"/>
                  <w:vAlign w:val="center"/>
                </w:tcPr>
                <w:p w14:paraId="694CFBC8">
                  <w:pPr>
                    <w:keepNext w:val="0"/>
                    <w:keepLines w:val="0"/>
                    <w:pageBreakBefore w:val="0"/>
                    <w:widowControl w:val="0"/>
                    <w:wordWrap/>
                    <w:topLinePunct w:val="0"/>
                    <w:bidi w:val="0"/>
                    <w:adjustRightInd w:val="0"/>
                    <w:snapToGrid w:val="0"/>
                    <w:ind w:right="-3"/>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c>
                <w:tcPr>
                  <w:tcW w:w="1923" w:type="pct"/>
                  <w:noWrap w:val="0"/>
                  <w:vAlign w:val="center"/>
                </w:tcPr>
                <w:p w14:paraId="335E096F">
                  <w:pPr>
                    <w:keepNext w:val="0"/>
                    <w:keepLines w:val="0"/>
                    <w:pageBreakBefore w:val="0"/>
                    <w:widowControl w:val="0"/>
                    <w:wordWrap/>
                    <w:topLinePunct w:val="0"/>
                    <w:bidi w:val="0"/>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是否人口密集区</w:t>
                  </w:r>
                </w:p>
              </w:tc>
              <w:tc>
                <w:tcPr>
                  <w:tcW w:w="2712" w:type="pct"/>
                  <w:noWrap w:val="0"/>
                  <w:vAlign w:val="center"/>
                </w:tcPr>
                <w:p w14:paraId="49651D44">
                  <w:pPr>
                    <w:pStyle w:val="29"/>
                    <w:keepNext w:val="0"/>
                    <w:keepLines w:val="0"/>
                    <w:pageBreakBefore w:val="0"/>
                    <w:widowControl w:val="0"/>
                    <w:wordWrap/>
                    <w:topLinePunct w:val="0"/>
                    <w:autoSpaceDE/>
                    <w:autoSpaceDN/>
                    <w:bidi w:val="0"/>
                    <w:snapToGrid w:val="0"/>
                    <w:textAlignment w:val="auto"/>
                    <w:rPr>
                      <w:rFonts w:hint="default" w:ascii="Times New Roman" w:hAnsi="Times New Roman" w:cs="Times New Roman"/>
                      <w:color w:val="auto"/>
                      <w:kern w:val="2"/>
                      <w:position w:val="0"/>
                      <w:highlight w:val="none"/>
                    </w:rPr>
                  </w:pPr>
                  <w:r>
                    <w:rPr>
                      <w:rFonts w:hint="default" w:ascii="Times New Roman" w:hAnsi="Times New Roman" w:cs="Times New Roman"/>
                      <w:color w:val="auto"/>
                      <w:highlight w:val="none"/>
                    </w:rPr>
                    <w:t>否</w:t>
                  </w:r>
                </w:p>
              </w:tc>
            </w:tr>
            <w:tr w14:paraId="26E68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63" w:type="pct"/>
                  <w:noWrap w:val="0"/>
                  <w:vAlign w:val="center"/>
                </w:tcPr>
                <w:p w14:paraId="5159868D">
                  <w:pPr>
                    <w:keepNext w:val="0"/>
                    <w:keepLines w:val="0"/>
                    <w:pageBreakBefore w:val="0"/>
                    <w:widowControl w:val="0"/>
                    <w:wordWrap/>
                    <w:topLinePunct w:val="0"/>
                    <w:bidi w:val="0"/>
                    <w:adjustRightInd w:val="0"/>
                    <w:snapToGrid w:val="0"/>
                    <w:ind w:right="-3"/>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11</w:t>
                  </w:r>
                </w:p>
              </w:tc>
              <w:tc>
                <w:tcPr>
                  <w:tcW w:w="1923" w:type="pct"/>
                  <w:noWrap w:val="0"/>
                  <w:vAlign w:val="center"/>
                </w:tcPr>
                <w:p w14:paraId="26B57653">
                  <w:pPr>
                    <w:keepNext w:val="0"/>
                    <w:keepLines w:val="0"/>
                    <w:pageBreakBefore w:val="0"/>
                    <w:widowControl w:val="0"/>
                    <w:wordWrap/>
                    <w:topLinePunct w:val="0"/>
                    <w:bidi w:val="0"/>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是否重点文物保护单位</w:t>
                  </w:r>
                </w:p>
              </w:tc>
              <w:tc>
                <w:tcPr>
                  <w:tcW w:w="2712" w:type="pct"/>
                  <w:noWrap w:val="0"/>
                  <w:vAlign w:val="center"/>
                </w:tcPr>
                <w:p w14:paraId="2118B876">
                  <w:pPr>
                    <w:pStyle w:val="29"/>
                    <w:keepNext w:val="0"/>
                    <w:keepLines w:val="0"/>
                    <w:pageBreakBefore w:val="0"/>
                    <w:widowControl w:val="0"/>
                    <w:wordWrap/>
                    <w:topLinePunct w:val="0"/>
                    <w:autoSpaceDE/>
                    <w:autoSpaceDN/>
                    <w:bidi w:val="0"/>
                    <w:snapToGrid w:val="0"/>
                    <w:textAlignment w:val="auto"/>
                    <w:rPr>
                      <w:rFonts w:hint="default" w:ascii="Times New Roman" w:hAnsi="Times New Roman" w:cs="Times New Roman"/>
                      <w:color w:val="auto"/>
                      <w:kern w:val="2"/>
                      <w:position w:val="0"/>
                      <w:highlight w:val="none"/>
                    </w:rPr>
                  </w:pPr>
                  <w:r>
                    <w:rPr>
                      <w:rFonts w:hint="default" w:ascii="Times New Roman" w:hAnsi="Times New Roman" w:cs="Times New Roman"/>
                      <w:color w:val="auto"/>
                      <w:highlight w:val="none"/>
                    </w:rPr>
                    <w:t>否</w:t>
                  </w:r>
                </w:p>
              </w:tc>
            </w:tr>
            <w:tr w14:paraId="4B987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63" w:type="pct"/>
                  <w:noWrap w:val="0"/>
                  <w:vAlign w:val="center"/>
                </w:tcPr>
                <w:p w14:paraId="1DA1161A">
                  <w:pPr>
                    <w:keepNext w:val="0"/>
                    <w:keepLines w:val="0"/>
                    <w:pageBreakBefore w:val="0"/>
                    <w:widowControl w:val="0"/>
                    <w:wordWrap/>
                    <w:topLinePunct w:val="0"/>
                    <w:bidi w:val="0"/>
                    <w:adjustRightInd w:val="0"/>
                    <w:snapToGrid w:val="0"/>
                    <w:ind w:right="-3"/>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12</w:t>
                  </w:r>
                </w:p>
              </w:tc>
              <w:tc>
                <w:tcPr>
                  <w:tcW w:w="1923" w:type="pct"/>
                  <w:noWrap w:val="0"/>
                  <w:vAlign w:val="center"/>
                </w:tcPr>
                <w:p w14:paraId="22BAA787">
                  <w:pPr>
                    <w:keepNext w:val="0"/>
                    <w:keepLines w:val="0"/>
                    <w:pageBreakBefore w:val="0"/>
                    <w:widowControl w:val="0"/>
                    <w:wordWrap/>
                    <w:topLinePunct w:val="0"/>
                    <w:autoSpaceDE w:val="0"/>
                    <w:autoSpaceDN w:val="0"/>
                    <w:bidi w:val="0"/>
                    <w:adjustRightInd w:val="0"/>
                    <w:jc w:val="center"/>
                    <w:textAlignment w:val="baseline"/>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是否水库库区</w:t>
                  </w:r>
                </w:p>
              </w:tc>
              <w:tc>
                <w:tcPr>
                  <w:tcW w:w="2712" w:type="pct"/>
                  <w:noWrap w:val="0"/>
                  <w:vAlign w:val="center"/>
                </w:tcPr>
                <w:p w14:paraId="550F9091">
                  <w:pPr>
                    <w:keepNext w:val="0"/>
                    <w:keepLines w:val="0"/>
                    <w:pageBreakBefore w:val="0"/>
                    <w:widowControl w:val="0"/>
                    <w:wordWrap/>
                    <w:topLinePunct w:val="0"/>
                    <w:autoSpaceDE w:val="0"/>
                    <w:autoSpaceDN w:val="0"/>
                    <w:bidi w:val="0"/>
                    <w:adjustRightInd w:val="0"/>
                    <w:jc w:val="center"/>
                    <w:textAlignment w:val="baseline"/>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否</w:t>
                  </w:r>
                </w:p>
              </w:tc>
            </w:tr>
            <w:tr w14:paraId="3316C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63" w:type="pct"/>
                  <w:noWrap w:val="0"/>
                  <w:vAlign w:val="center"/>
                </w:tcPr>
                <w:p w14:paraId="33E7BEE6">
                  <w:pPr>
                    <w:keepNext w:val="0"/>
                    <w:keepLines w:val="0"/>
                    <w:pageBreakBefore w:val="0"/>
                    <w:widowControl w:val="0"/>
                    <w:wordWrap/>
                    <w:topLinePunct w:val="0"/>
                    <w:bidi w:val="0"/>
                    <w:adjustRightInd w:val="0"/>
                    <w:snapToGrid w:val="0"/>
                    <w:ind w:right="-3"/>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13</w:t>
                  </w:r>
                </w:p>
              </w:tc>
              <w:tc>
                <w:tcPr>
                  <w:tcW w:w="1923" w:type="pct"/>
                  <w:noWrap w:val="0"/>
                  <w:vAlign w:val="center"/>
                </w:tcPr>
                <w:p w14:paraId="70762BD0">
                  <w:pPr>
                    <w:keepNext w:val="0"/>
                    <w:keepLines w:val="0"/>
                    <w:pageBreakBefore w:val="0"/>
                    <w:widowControl w:val="0"/>
                    <w:wordWrap/>
                    <w:topLinePunct w:val="0"/>
                    <w:autoSpaceDE w:val="0"/>
                    <w:autoSpaceDN w:val="0"/>
                    <w:bidi w:val="0"/>
                    <w:adjustRightInd w:val="0"/>
                    <w:jc w:val="center"/>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是否城市污水处理厂集水范围</w:t>
                  </w:r>
                </w:p>
              </w:tc>
              <w:tc>
                <w:tcPr>
                  <w:tcW w:w="2712" w:type="pct"/>
                  <w:noWrap w:val="0"/>
                  <w:vAlign w:val="center"/>
                </w:tcPr>
                <w:p w14:paraId="28BC00BA">
                  <w:pPr>
                    <w:keepNext w:val="0"/>
                    <w:keepLines w:val="0"/>
                    <w:pageBreakBefore w:val="0"/>
                    <w:widowControl w:val="0"/>
                    <w:wordWrap/>
                    <w:topLinePunct w:val="0"/>
                    <w:autoSpaceDE w:val="0"/>
                    <w:autoSpaceDN w:val="0"/>
                    <w:bidi w:val="0"/>
                    <w:adjustRightInd w:val="0"/>
                    <w:jc w:val="center"/>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否</w:t>
                  </w:r>
                </w:p>
              </w:tc>
            </w:tr>
            <w:tr w14:paraId="4B346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63" w:type="pct"/>
                  <w:noWrap w:val="0"/>
                  <w:vAlign w:val="center"/>
                </w:tcPr>
                <w:p w14:paraId="58826213">
                  <w:pPr>
                    <w:keepNext w:val="0"/>
                    <w:keepLines w:val="0"/>
                    <w:pageBreakBefore w:val="0"/>
                    <w:widowControl w:val="0"/>
                    <w:wordWrap/>
                    <w:topLinePunct w:val="0"/>
                    <w:bidi w:val="0"/>
                    <w:adjustRightInd w:val="0"/>
                    <w:snapToGrid w:val="0"/>
                    <w:ind w:right="-3"/>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14</w:t>
                  </w:r>
                </w:p>
              </w:tc>
              <w:tc>
                <w:tcPr>
                  <w:tcW w:w="1923" w:type="pct"/>
                  <w:noWrap w:val="0"/>
                  <w:vAlign w:val="center"/>
                </w:tcPr>
                <w:p w14:paraId="417FFDD9">
                  <w:pPr>
                    <w:keepNext w:val="0"/>
                    <w:keepLines w:val="0"/>
                    <w:pageBreakBefore w:val="0"/>
                    <w:widowControl w:val="0"/>
                    <w:wordWrap/>
                    <w:topLinePunct w:val="0"/>
                    <w:autoSpaceDE w:val="0"/>
                    <w:autoSpaceDN w:val="0"/>
                    <w:bidi w:val="0"/>
                    <w:adjustRightInd w:val="0"/>
                    <w:jc w:val="center"/>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是否饮用水源保护区</w:t>
                  </w:r>
                </w:p>
              </w:tc>
              <w:tc>
                <w:tcPr>
                  <w:tcW w:w="2712" w:type="pct"/>
                  <w:noWrap w:val="0"/>
                  <w:vAlign w:val="center"/>
                </w:tcPr>
                <w:p w14:paraId="5A0EBABC">
                  <w:pPr>
                    <w:keepNext w:val="0"/>
                    <w:keepLines w:val="0"/>
                    <w:pageBreakBefore w:val="0"/>
                    <w:widowControl w:val="0"/>
                    <w:wordWrap/>
                    <w:topLinePunct w:val="0"/>
                    <w:autoSpaceDE w:val="0"/>
                    <w:autoSpaceDN w:val="0"/>
                    <w:bidi w:val="0"/>
                    <w:adjustRightInd w:val="0"/>
                    <w:jc w:val="center"/>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否</w:t>
                  </w:r>
                </w:p>
              </w:tc>
            </w:tr>
          </w:tbl>
          <w:p w14:paraId="5CC909BA">
            <w:pPr>
              <w:keepNext w:val="0"/>
              <w:keepLines w:val="0"/>
              <w:pageBreakBefore w:val="0"/>
              <w:widowControl w:val="0"/>
              <w:wordWrap/>
              <w:topLinePunct w:val="0"/>
              <w:bidi w:val="0"/>
              <w:adjustRightInd w:val="0"/>
              <w:snapToGrid w:val="0"/>
              <w:jc w:val="center"/>
              <w:rPr>
                <w:rFonts w:hint="default" w:ascii="Times New Roman" w:hAnsi="Times New Roman" w:cs="Times New Roman"/>
                <w:color w:val="auto"/>
                <w:kern w:val="0"/>
                <w:szCs w:val="21"/>
                <w:highlight w:val="none"/>
              </w:rPr>
            </w:pPr>
          </w:p>
          <w:p w14:paraId="67DD6333">
            <w:pPr>
              <w:keepNext w:val="0"/>
              <w:keepLines w:val="0"/>
              <w:pageBreakBefore w:val="0"/>
              <w:widowControl w:val="0"/>
              <w:wordWrap/>
              <w:topLinePunct w:val="0"/>
              <w:bidi w:val="0"/>
              <w:spacing w:line="360" w:lineRule="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lang w:val="en-US" w:eastAsia="zh-CN"/>
              </w:rPr>
              <w:t>1.</w:t>
            </w:r>
            <w:r>
              <w:rPr>
                <w:rFonts w:hint="default" w:ascii="Times New Roman" w:hAnsi="Times New Roman" w:cs="Times New Roman"/>
                <w:b/>
                <w:color w:val="auto"/>
                <w:sz w:val="24"/>
                <w:highlight w:val="none"/>
              </w:rPr>
              <w:t>生态环境现状</w:t>
            </w:r>
          </w:p>
          <w:p w14:paraId="261C2978">
            <w:pPr>
              <w:pStyle w:val="3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kern w:val="2"/>
                <w:sz w:val="24"/>
                <w:szCs w:val="21"/>
                <w:highlight w:val="none"/>
                <w:lang w:val="en-US" w:eastAsia="zh-CN"/>
              </w:rPr>
            </w:pPr>
            <w:r>
              <w:rPr>
                <w:rFonts w:hint="default" w:ascii="Times New Roman" w:hAnsi="Times New Roman" w:eastAsia="宋体" w:cs="Times New Roman"/>
                <w:color w:val="auto"/>
                <w:kern w:val="2"/>
                <w:sz w:val="24"/>
                <w:szCs w:val="21"/>
                <w:highlight w:val="none"/>
                <w:lang w:val="en-US" w:eastAsia="zh-CN"/>
              </w:rPr>
              <w:t>（1）主体功能区规划</w:t>
            </w:r>
          </w:p>
          <w:p w14:paraId="366FC4AB">
            <w:pPr>
              <w:pStyle w:val="3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kern w:val="2"/>
                <w:sz w:val="24"/>
                <w:szCs w:val="21"/>
                <w:highlight w:val="none"/>
                <w:lang w:val="en-US" w:eastAsia="zh-CN"/>
              </w:rPr>
            </w:pPr>
            <w:r>
              <w:rPr>
                <w:rFonts w:hint="eastAsia" w:eastAsia="宋体" w:cs="Times New Roman"/>
                <w:color w:val="auto"/>
                <w:kern w:val="2"/>
                <w:sz w:val="24"/>
                <w:szCs w:val="21"/>
                <w:highlight w:val="none"/>
                <w:lang w:val="en-US" w:eastAsia="zh-CN"/>
              </w:rPr>
              <w:t>本项目</w:t>
            </w:r>
            <w:r>
              <w:rPr>
                <w:rFonts w:hint="default" w:ascii="Times New Roman" w:hAnsi="Times New Roman" w:eastAsia="宋体" w:cs="Times New Roman"/>
                <w:color w:val="auto"/>
                <w:kern w:val="2"/>
                <w:sz w:val="24"/>
                <w:szCs w:val="21"/>
                <w:highlight w:val="none"/>
                <w:lang w:val="en-US" w:eastAsia="zh-CN"/>
              </w:rPr>
              <w:t>位于</w:t>
            </w:r>
            <w:r>
              <w:rPr>
                <w:rFonts w:hint="default" w:ascii="Times New Roman" w:hAnsi="Times New Roman" w:eastAsia="宋体" w:cs="Times New Roman"/>
                <w:color w:val="auto"/>
                <w:sz w:val="24"/>
                <w:szCs w:val="24"/>
                <w:highlight w:val="none"/>
                <w:lang w:val="en-US" w:eastAsia="zh-CN"/>
              </w:rPr>
              <w:t>乌鲁木齐市甘泉堡经济技术开发区（工业区）</w:t>
            </w:r>
            <w:r>
              <w:rPr>
                <w:rFonts w:hint="default" w:ascii="Times New Roman" w:hAnsi="Times New Roman" w:eastAsia="宋体" w:cs="Times New Roman"/>
                <w:color w:val="auto"/>
                <w:kern w:val="2"/>
                <w:sz w:val="24"/>
                <w:szCs w:val="21"/>
                <w:highlight w:val="none"/>
                <w:lang w:val="en-US" w:eastAsia="zh-CN"/>
              </w:rPr>
              <w:t>，根据《新疆维吾尔自治区主体功能区规划》，项目所在地属于主体功能区划中的</w:t>
            </w:r>
            <w:r>
              <w:rPr>
                <w:rFonts w:hint="eastAsia" w:eastAsia="宋体" w:cs="Times New Roman"/>
                <w:color w:val="auto"/>
                <w:kern w:val="2"/>
                <w:sz w:val="24"/>
                <w:szCs w:val="21"/>
                <w:highlight w:val="none"/>
                <w:lang w:val="en-US" w:eastAsia="zh-CN"/>
              </w:rPr>
              <w:t>国家级天山北坡地区重点开发区域，</w:t>
            </w:r>
            <w:r>
              <w:rPr>
                <w:rFonts w:hint="default" w:ascii="Times New Roman" w:hAnsi="Times New Roman" w:eastAsia="宋体" w:cs="Times New Roman"/>
                <w:color w:val="auto"/>
                <w:kern w:val="2"/>
                <w:sz w:val="24"/>
                <w:szCs w:val="21"/>
                <w:highlight w:val="none"/>
                <w:lang w:val="en-US" w:eastAsia="zh-CN"/>
              </w:rPr>
              <w:t>功能定位是：我国面向中亚、西亚地区对外开放的陆路交通枢纽和重要门户，全国重要的能源基地，我国进口资源的国际大通道，西北地区重要的国际商贸中心、物流中心和对外合作加工基地，石油天然气化工、煤电、煤化工、机电工业及纺织工业基地。</w:t>
            </w:r>
          </w:p>
          <w:p w14:paraId="4FE85F23">
            <w:pPr>
              <w:pStyle w:val="3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kern w:val="2"/>
                <w:sz w:val="24"/>
                <w:szCs w:val="21"/>
                <w:highlight w:val="none"/>
                <w:lang w:val="en-US" w:eastAsia="zh-CN"/>
              </w:rPr>
            </w:pPr>
            <w:r>
              <w:rPr>
                <w:rFonts w:hint="eastAsia" w:ascii="Times New Roman" w:hAnsi="Times New Roman" w:eastAsia="宋体" w:cs="Times New Roman"/>
                <w:color w:val="auto"/>
                <w:sz w:val="24"/>
                <w:szCs w:val="24"/>
                <w:highlight w:val="none"/>
                <w:lang w:val="en-US" w:eastAsia="zh-CN"/>
              </w:rPr>
              <w:t>本项目为升压站及储能建设</w:t>
            </w:r>
            <w:r>
              <w:rPr>
                <w:rFonts w:hint="eastAsia" w:eastAsia="宋体" w:cs="Times New Roman"/>
                <w:b w:val="0"/>
                <w:bCs w:val="0"/>
                <w:color w:val="auto"/>
                <w:kern w:val="2"/>
                <w:sz w:val="24"/>
                <w:szCs w:val="24"/>
                <w:highlight w:val="none"/>
                <w:lang w:val="en-US" w:eastAsia="zh-CN" w:bidi="ar-SA"/>
              </w:rPr>
              <w:t>项目</w:t>
            </w:r>
            <w:r>
              <w:rPr>
                <w:rFonts w:hint="eastAsia" w:eastAsia="宋体" w:cs="Times New Roman"/>
                <w:color w:val="auto"/>
                <w:kern w:val="2"/>
                <w:sz w:val="24"/>
                <w:szCs w:val="21"/>
                <w:highlight w:val="none"/>
                <w:lang w:val="en-US" w:eastAsia="zh-CN"/>
              </w:rPr>
              <w:t>，项目的建设在一定程度上有利于重点开发区域的建设，符合</w:t>
            </w:r>
            <w:r>
              <w:rPr>
                <w:rFonts w:hint="default" w:ascii="Times New Roman" w:hAnsi="Times New Roman" w:eastAsia="宋体" w:cs="Times New Roman"/>
                <w:color w:val="auto"/>
                <w:kern w:val="2"/>
                <w:sz w:val="24"/>
                <w:szCs w:val="21"/>
                <w:highlight w:val="none"/>
                <w:lang w:val="en-US" w:eastAsia="zh-CN"/>
              </w:rPr>
              <w:t>《新疆维吾尔自治区主体功能区规划》</w:t>
            </w:r>
            <w:r>
              <w:rPr>
                <w:rFonts w:hint="eastAsia" w:ascii="Times New Roman" w:hAnsi="Times New Roman" w:eastAsia="宋体" w:cs="Times New Roman"/>
                <w:color w:val="auto"/>
                <w:kern w:val="2"/>
                <w:sz w:val="24"/>
                <w:szCs w:val="21"/>
                <w:highlight w:val="none"/>
                <w:lang w:val="en-US" w:eastAsia="zh-CN"/>
              </w:rPr>
              <w:t>中功能定位，</w:t>
            </w:r>
            <w:r>
              <w:rPr>
                <w:rFonts w:hint="default" w:ascii="Times New Roman" w:hAnsi="Times New Roman" w:eastAsia="宋体" w:cs="Times New Roman"/>
                <w:color w:val="auto"/>
                <w:kern w:val="2"/>
                <w:sz w:val="24"/>
                <w:szCs w:val="21"/>
                <w:highlight w:val="none"/>
                <w:lang w:val="en-US" w:eastAsia="zh-CN"/>
              </w:rPr>
              <w:t>具体见图</w:t>
            </w:r>
            <w:r>
              <w:rPr>
                <w:rFonts w:hint="eastAsia" w:eastAsia="宋体" w:cs="Times New Roman"/>
                <w:color w:val="auto"/>
                <w:kern w:val="2"/>
                <w:sz w:val="24"/>
                <w:szCs w:val="21"/>
                <w:highlight w:val="none"/>
                <w:lang w:val="en-US" w:eastAsia="zh-CN"/>
              </w:rPr>
              <w:t>3-1</w:t>
            </w:r>
            <w:r>
              <w:rPr>
                <w:rFonts w:hint="default" w:ascii="Times New Roman" w:hAnsi="Times New Roman" w:eastAsia="宋体" w:cs="Times New Roman"/>
                <w:color w:val="auto"/>
                <w:kern w:val="2"/>
                <w:sz w:val="24"/>
                <w:szCs w:val="21"/>
                <w:highlight w:val="none"/>
                <w:lang w:val="en-US" w:eastAsia="zh-CN"/>
              </w:rPr>
              <w:t>新疆主体功能区划分总图。</w:t>
            </w:r>
          </w:p>
          <w:p w14:paraId="3ED4B458">
            <w:pPr>
              <w:keepNext w:val="0"/>
              <w:keepLines w:val="0"/>
              <w:pageBreakBefore w:val="0"/>
              <w:widowControl w:val="0"/>
              <w:kinsoku/>
              <w:wordWrap/>
              <w:overflowPunct/>
              <w:topLinePunct w:val="0"/>
              <w:autoSpaceDE/>
              <w:autoSpaceDN/>
              <w:bidi w:val="0"/>
              <w:adjustRightInd/>
              <w:spacing w:before="100" w:after="50" w:line="360" w:lineRule="auto"/>
              <w:ind w:firstLine="480" w:firstLineChars="200"/>
              <w:textAlignment w:val="auto"/>
              <w:rPr>
                <w:rFonts w:hint="default" w:ascii="Times New Roman" w:hAnsi="Times New Roman" w:cs="Times New Roman"/>
                <w:color w:val="auto"/>
                <w:sz w:val="18"/>
                <w:highlight w:val="none"/>
              </w:rPr>
            </w:pPr>
            <w:r>
              <w:rPr>
                <w:rFonts w:hint="default" w:ascii="Times New Roman" w:hAnsi="Times New Roman" w:cs="Times New Roman"/>
                <w:color w:val="auto"/>
                <w:kern w:val="2"/>
                <w:sz w:val="24"/>
                <w:szCs w:val="21"/>
                <w:highlight w:val="none"/>
                <w:lang w:eastAsia="zh-CN"/>
              </w:rPr>
              <w:t>（</w:t>
            </w:r>
            <w:r>
              <w:rPr>
                <w:rFonts w:hint="default" w:ascii="Times New Roman" w:hAnsi="Times New Roman" w:cs="Times New Roman"/>
                <w:color w:val="auto"/>
                <w:kern w:val="2"/>
                <w:sz w:val="24"/>
                <w:szCs w:val="21"/>
                <w:highlight w:val="none"/>
                <w:lang w:val="en-US" w:eastAsia="zh-CN"/>
              </w:rPr>
              <w:t>2</w:t>
            </w:r>
            <w:r>
              <w:rPr>
                <w:rFonts w:hint="default" w:ascii="Times New Roman" w:hAnsi="Times New Roman" w:cs="Times New Roman"/>
                <w:color w:val="auto"/>
                <w:kern w:val="2"/>
                <w:sz w:val="24"/>
                <w:szCs w:val="21"/>
                <w:highlight w:val="none"/>
                <w:lang w:eastAsia="zh-CN"/>
              </w:rPr>
              <w:t>）生态功能区划</w:t>
            </w:r>
          </w:p>
          <w:p w14:paraId="2C02FBCD">
            <w:pPr>
              <w:pStyle w:val="3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b/>
                <w:bCs w:val="0"/>
                <w:snapToGrid w:val="0"/>
                <w:color w:val="auto"/>
                <w:kern w:val="0"/>
                <w:sz w:val="21"/>
                <w:szCs w:val="21"/>
                <w:highlight w:val="none"/>
                <w:lang w:val="en-US" w:eastAsia="zh-CN"/>
              </w:rPr>
            </w:pPr>
            <w:r>
              <w:rPr>
                <w:rFonts w:hint="default" w:ascii="Times New Roman" w:hAnsi="Times New Roman" w:eastAsia="宋体" w:cs="Times New Roman"/>
                <w:color w:val="auto"/>
                <w:kern w:val="2"/>
                <w:sz w:val="24"/>
                <w:szCs w:val="21"/>
                <w:highlight w:val="none"/>
                <w:lang w:val="en-US" w:eastAsia="zh-CN"/>
              </w:rPr>
              <w:t>根据《新疆生态功能区划》</w:t>
            </w:r>
            <w:r>
              <w:rPr>
                <w:rFonts w:hint="default" w:ascii="Times New Roman" w:hAnsi="Times New Roman" w:eastAsia="宋体" w:cs="Times New Roman"/>
                <w:color w:val="auto"/>
                <w:kern w:val="2"/>
                <w:sz w:val="24"/>
                <w:szCs w:val="21"/>
                <w:highlight w:val="none"/>
                <w:lang w:eastAsia="zh-CN"/>
              </w:rPr>
              <w:t>，项目所在</w:t>
            </w:r>
            <w:r>
              <w:rPr>
                <w:rFonts w:hint="default" w:ascii="Times New Roman" w:hAnsi="Times New Roman" w:eastAsia="宋体" w:cs="Times New Roman"/>
                <w:color w:val="auto"/>
                <w:kern w:val="2"/>
                <w:sz w:val="24"/>
                <w:szCs w:val="21"/>
                <w:highlight w:val="none"/>
                <w:lang w:val="en-US" w:eastAsia="zh-CN"/>
              </w:rPr>
              <w:t>地</w:t>
            </w:r>
            <w:r>
              <w:rPr>
                <w:rFonts w:hint="default" w:ascii="Times New Roman" w:hAnsi="Times New Roman" w:eastAsia="宋体" w:cs="Times New Roman"/>
                <w:color w:val="auto"/>
                <w:kern w:val="2"/>
                <w:sz w:val="24"/>
                <w:szCs w:val="21"/>
                <w:highlight w:val="none"/>
                <w:lang w:eastAsia="zh-CN"/>
              </w:rPr>
              <w:t>生态功能区划具体见表</w:t>
            </w:r>
            <w:r>
              <w:rPr>
                <w:rFonts w:hint="default" w:ascii="Times New Roman" w:hAnsi="Times New Roman" w:eastAsia="宋体" w:cs="Times New Roman"/>
                <w:color w:val="auto"/>
                <w:kern w:val="2"/>
                <w:sz w:val="24"/>
                <w:szCs w:val="21"/>
                <w:highlight w:val="none"/>
                <w:lang w:val="en-US" w:eastAsia="zh-CN"/>
              </w:rPr>
              <w:t>3-2、图</w:t>
            </w:r>
            <w:r>
              <w:rPr>
                <w:rFonts w:hint="eastAsia" w:eastAsia="宋体" w:cs="Times New Roman"/>
                <w:color w:val="auto"/>
                <w:kern w:val="2"/>
                <w:sz w:val="24"/>
                <w:szCs w:val="21"/>
                <w:highlight w:val="none"/>
                <w:lang w:val="en-US" w:eastAsia="zh-CN"/>
              </w:rPr>
              <w:t>3-2本项目</w:t>
            </w:r>
            <w:r>
              <w:rPr>
                <w:rFonts w:hint="default" w:ascii="Times New Roman" w:hAnsi="Times New Roman" w:eastAsia="宋体" w:cs="Times New Roman"/>
                <w:color w:val="auto"/>
                <w:kern w:val="2"/>
                <w:sz w:val="24"/>
                <w:szCs w:val="21"/>
                <w:highlight w:val="none"/>
                <w:lang w:val="en-US" w:eastAsia="zh-CN"/>
              </w:rPr>
              <w:t>所在生态环境功能区划位置。</w:t>
            </w:r>
          </w:p>
          <w:p w14:paraId="4DA9248A">
            <w:pPr>
              <w:keepNext w:val="0"/>
              <w:keepLines w:val="0"/>
              <w:pageBreakBefore w:val="0"/>
              <w:widowControl w:val="0"/>
              <w:wordWrap/>
              <w:topLinePunct w:val="0"/>
              <w:bidi w:val="0"/>
              <w:adjustRightInd w:val="0"/>
              <w:snapToGrid w:val="0"/>
              <w:spacing w:before="120" w:after="0" w:line="240" w:lineRule="auto"/>
              <w:ind w:leftChars="0" w:firstLine="0" w:firstLineChars="0"/>
              <w:jc w:val="center"/>
              <w:rPr>
                <w:rFonts w:hint="default" w:ascii="Times New Roman" w:hAnsi="Times New Roman" w:eastAsia="宋体" w:cs="Times New Roman"/>
                <w:b/>
                <w:bCs w:val="0"/>
                <w:color w:val="auto"/>
                <w:kern w:val="2"/>
                <w:sz w:val="24"/>
                <w:szCs w:val="21"/>
                <w:highlight w:val="none"/>
                <w:lang w:val="en-US" w:eastAsia="zh-CN"/>
              </w:rPr>
            </w:pPr>
            <w:r>
              <w:rPr>
                <w:rFonts w:hint="default" w:ascii="Times New Roman" w:hAnsi="Times New Roman" w:cs="Times New Roman"/>
                <w:b/>
                <w:bCs w:val="0"/>
                <w:snapToGrid w:val="0"/>
                <w:color w:val="auto"/>
                <w:kern w:val="0"/>
                <w:sz w:val="21"/>
                <w:szCs w:val="21"/>
                <w:highlight w:val="none"/>
                <w:lang w:val="en-US" w:eastAsia="zh-CN"/>
              </w:rPr>
              <w:t>表3-2</w:t>
            </w:r>
            <w:r>
              <w:rPr>
                <w:rFonts w:hint="default" w:ascii="Times New Roman" w:hAnsi="Times New Roman" w:eastAsia="宋体" w:cs="Times New Roman"/>
                <w:b/>
                <w:bCs w:val="0"/>
                <w:snapToGrid w:val="0"/>
                <w:color w:val="auto"/>
                <w:kern w:val="0"/>
                <w:sz w:val="21"/>
                <w:szCs w:val="21"/>
                <w:highlight w:val="none"/>
                <w:lang w:val="en-US" w:eastAsia="zh-CN"/>
              </w:rPr>
              <w:t xml:space="preserve">   </w:t>
            </w:r>
            <w:r>
              <w:rPr>
                <w:rFonts w:hint="default" w:ascii="Times New Roman" w:hAnsi="Times New Roman" w:eastAsia="宋体" w:cs="Times New Roman"/>
                <w:b/>
                <w:bCs w:val="0"/>
                <w:snapToGrid w:val="0"/>
                <w:color w:val="auto"/>
                <w:kern w:val="0"/>
                <w:sz w:val="21"/>
                <w:szCs w:val="21"/>
                <w:highlight w:val="none"/>
              </w:rPr>
              <w:t>新疆生态功能区划简表</w:t>
            </w:r>
          </w:p>
          <w:tbl>
            <w:tblPr>
              <w:tblStyle w:val="18"/>
              <w:tblW w:w="4995"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69"/>
              <w:gridCol w:w="834"/>
              <w:gridCol w:w="759"/>
              <w:gridCol w:w="613"/>
              <w:gridCol w:w="613"/>
              <w:gridCol w:w="957"/>
              <w:gridCol w:w="685"/>
              <w:gridCol w:w="668"/>
              <w:gridCol w:w="1034"/>
              <w:gridCol w:w="958"/>
            </w:tblGrid>
            <w:tr w14:paraId="206951E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451" w:type="pct"/>
                  <w:gridSpan w:val="3"/>
                  <w:tcBorders>
                    <w:tl2br w:val="nil"/>
                    <w:tr2bl w:val="nil"/>
                  </w:tcBorders>
                  <w:noWrap w:val="0"/>
                  <w:vAlign w:val="center"/>
                </w:tcPr>
                <w:p w14:paraId="300750BC">
                  <w:pPr>
                    <w:keepNext w:val="0"/>
                    <w:keepLines w:val="0"/>
                    <w:pageBreakBefore w:val="0"/>
                    <w:widowControl w:val="0"/>
                    <w:wordWrap/>
                    <w:topLinePunct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生态功能分区单元</w:t>
                  </w:r>
                </w:p>
              </w:tc>
              <w:tc>
                <w:tcPr>
                  <w:tcW w:w="393" w:type="pct"/>
                  <w:vMerge w:val="restart"/>
                  <w:tcBorders>
                    <w:tl2br w:val="nil"/>
                    <w:tr2bl w:val="nil"/>
                  </w:tcBorders>
                  <w:noWrap w:val="0"/>
                  <w:vAlign w:val="center"/>
                </w:tcPr>
                <w:p w14:paraId="07C27311">
                  <w:pPr>
                    <w:keepNext w:val="0"/>
                    <w:keepLines w:val="0"/>
                    <w:pageBreakBefore w:val="0"/>
                    <w:widowControl w:val="0"/>
                    <w:wordWrap/>
                    <w:topLinePunct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rPr>
                  </w:pPr>
                </w:p>
                <w:p w14:paraId="6690A81E">
                  <w:pPr>
                    <w:keepNext w:val="0"/>
                    <w:keepLines w:val="0"/>
                    <w:pageBreakBefore w:val="0"/>
                    <w:widowControl w:val="0"/>
                    <w:wordWrap/>
                    <w:topLinePunct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隶属</w:t>
                  </w:r>
                </w:p>
                <w:p w14:paraId="23EAD9D8">
                  <w:pPr>
                    <w:keepNext w:val="0"/>
                    <w:keepLines w:val="0"/>
                    <w:pageBreakBefore w:val="0"/>
                    <w:widowControl w:val="0"/>
                    <w:wordWrap/>
                    <w:topLinePunct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行政区</w:t>
                  </w:r>
                </w:p>
              </w:tc>
              <w:tc>
                <w:tcPr>
                  <w:tcW w:w="393" w:type="pct"/>
                  <w:vMerge w:val="restart"/>
                  <w:tcBorders>
                    <w:tl2br w:val="nil"/>
                    <w:tr2bl w:val="nil"/>
                  </w:tcBorders>
                  <w:noWrap w:val="0"/>
                  <w:vAlign w:val="center"/>
                </w:tcPr>
                <w:p w14:paraId="603690C1">
                  <w:pPr>
                    <w:keepNext w:val="0"/>
                    <w:keepLines w:val="0"/>
                    <w:pageBreakBefore w:val="0"/>
                    <w:widowControl w:val="0"/>
                    <w:wordWrap/>
                    <w:topLinePunct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主要生态服务功能</w:t>
                  </w:r>
                </w:p>
              </w:tc>
              <w:tc>
                <w:tcPr>
                  <w:tcW w:w="614" w:type="pct"/>
                  <w:vMerge w:val="restart"/>
                  <w:tcBorders>
                    <w:tl2br w:val="nil"/>
                    <w:tr2bl w:val="nil"/>
                  </w:tcBorders>
                  <w:noWrap w:val="0"/>
                  <w:vAlign w:val="center"/>
                </w:tcPr>
                <w:p w14:paraId="75F2D443">
                  <w:pPr>
                    <w:keepNext w:val="0"/>
                    <w:keepLines w:val="0"/>
                    <w:pageBreakBefore w:val="0"/>
                    <w:widowControl w:val="0"/>
                    <w:wordWrap/>
                    <w:topLinePunct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主要生态环境问题</w:t>
                  </w:r>
                </w:p>
              </w:tc>
              <w:tc>
                <w:tcPr>
                  <w:tcW w:w="439" w:type="pct"/>
                  <w:vMerge w:val="restart"/>
                  <w:tcBorders>
                    <w:tl2br w:val="nil"/>
                    <w:tr2bl w:val="nil"/>
                  </w:tcBorders>
                  <w:noWrap w:val="0"/>
                  <w:vAlign w:val="center"/>
                </w:tcPr>
                <w:p w14:paraId="630A4E0F">
                  <w:pPr>
                    <w:keepNext w:val="0"/>
                    <w:keepLines w:val="0"/>
                    <w:pageBreakBefore w:val="0"/>
                    <w:widowControl w:val="0"/>
                    <w:wordWrap/>
                    <w:topLinePunct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主要生态敏感因子、敏感程度</w:t>
                  </w:r>
                </w:p>
              </w:tc>
              <w:tc>
                <w:tcPr>
                  <w:tcW w:w="428" w:type="pct"/>
                  <w:vMerge w:val="restart"/>
                  <w:tcBorders>
                    <w:tl2br w:val="nil"/>
                    <w:tr2bl w:val="nil"/>
                  </w:tcBorders>
                  <w:noWrap w:val="0"/>
                  <w:vAlign w:val="center"/>
                </w:tcPr>
                <w:p w14:paraId="0BD05BEA">
                  <w:pPr>
                    <w:keepNext w:val="0"/>
                    <w:keepLines w:val="0"/>
                    <w:pageBreakBefore w:val="0"/>
                    <w:widowControl w:val="0"/>
                    <w:wordWrap/>
                    <w:topLinePunct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主要保护目标</w:t>
                  </w:r>
                </w:p>
              </w:tc>
              <w:tc>
                <w:tcPr>
                  <w:tcW w:w="663" w:type="pct"/>
                  <w:vMerge w:val="restart"/>
                  <w:tcBorders>
                    <w:tl2br w:val="nil"/>
                    <w:tr2bl w:val="nil"/>
                  </w:tcBorders>
                  <w:noWrap w:val="0"/>
                  <w:vAlign w:val="center"/>
                </w:tcPr>
                <w:p w14:paraId="0AA3EA7D">
                  <w:pPr>
                    <w:keepNext w:val="0"/>
                    <w:keepLines w:val="0"/>
                    <w:pageBreakBefore w:val="0"/>
                    <w:widowControl w:val="0"/>
                    <w:wordWrap/>
                    <w:topLinePunct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主要保护措施</w:t>
                  </w:r>
                </w:p>
              </w:tc>
              <w:tc>
                <w:tcPr>
                  <w:tcW w:w="614" w:type="pct"/>
                  <w:vMerge w:val="restart"/>
                  <w:tcBorders>
                    <w:tl2br w:val="nil"/>
                    <w:tr2bl w:val="nil"/>
                  </w:tcBorders>
                  <w:noWrap w:val="0"/>
                  <w:vAlign w:val="center"/>
                </w:tcPr>
                <w:p w14:paraId="4CBAD9A8">
                  <w:pPr>
                    <w:keepNext w:val="0"/>
                    <w:keepLines w:val="0"/>
                    <w:pageBreakBefore w:val="0"/>
                    <w:widowControl w:val="0"/>
                    <w:wordWrap/>
                    <w:topLinePunct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适宜发展方向</w:t>
                  </w:r>
                </w:p>
              </w:tc>
            </w:tr>
            <w:tr w14:paraId="083C981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429" w:type="pct"/>
                  <w:tcBorders>
                    <w:tl2br w:val="nil"/>
                    <w:tr2bl w:val="nil"/>
                  </w:tcBorders>
                  <w:noWrap w:val="0"/>
                  <w:vAlign w:val="center"/>
                </w:tcPr>
                <w:p w14:paraId="62EB6E81">
                  <w:pPr>
                    <w:keepNext w:val="0"/>
                    <w:keepLines w:val="0"/>
                    <w:pageBreakBefore w:val="0"/>
                    <w:widowControl w:val="0"/>
                    <w:wordWrap/>
                    <w:topLinePunct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生态区</w:t>
                  </w:r>
                </w:p>
              </w:tc>
              <w:tc>
                <w:tcPr>
                  <w:tcW w:w="535" w:type="pct"/>
                  <w:tcBorders>
                    <w:tl2br w:val="nil"/>
                    <w:tr2bl w:val="nil"/>
                  </w:tcBorders>
                  <w:noWrap w:val="0"/>
                  <w:vAlign w:val="center"/>
                </w:tcPr>
                <w:p w14:paraId="2FE8D635">
                  <w:pPr>
                    <w:keepNext w:val="0"/>
                    <w:keepLines w:val="0"/>
                    <w:pageBreakBefore w:val="0"/>
                    <w:widowControl w:val="0"/>
                    <w:wordWrap/>
                    <w:topLinePunct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生态亚区</w:t>
                  </w:r>
                </w:p>
              </w:tc>
              <w:tc>
                <w:tcPr>
                  <w:tcW w:w="487" w:type="pct"/>
                  <w:tcBorders>
                    <w:tl2br w:val="nil"/>
                    <w:tr2bl w:val="nil"/>
                  </w:tcBorders>
                  <w:noWrap w:val="0"/>
                  <w:vAlign w:val="center"/>
                </w:tcPr>
                <w:p w14:paraId="66CAC9EB">
                  <w:pPr>
                    <w:keepNext w:val="0"/>
                    <w:keepLines w:val="0"/>
                    <w:pageBreakBefore w:val="0"/>
                    <w:widowControl w:val="0"/>
                    <w:wordWrap/>
                    <w:topLinePunct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生态功能区</w:t>
                  </w:r>
                </w:p>
              </w:tc>
              <w:tc>
                <w:tcPr>
                  <w:tcW w:w="393" w:type="pct"/>
                  <w:vMerge w:val="continue"/>
                  <w:tcBorders>
                    <w:tl2br w:val="nil"/>
                    <w:tr2bl w:val="nil"/>
                  </w:tcBorders>
                  <w:noWrap w:val="0"/>
                  <w:vAlign w:val="center"/>
                </w:tcPr>
                <w:p w14:paraId="6EBE087B">
                  <w:pPr>
                    <w:keepNext w:val="0"/>
                    <w:keepLines w:val="0"/>
                    <w:pageBreakBefore w:val="0"/>
                    <w:widowControl w:val="0"/>
                    <w:wordWrap/>
                    <w:topLinePunct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rPr>
                  </w:pPr>
                </w:p>
              </w:tc>
              <w:tc>
                <w:tcPr>
                  <w:tcW w:w="393" w:type="pct"/>
                  <w:vMerge w:val="continue"/>
                  <w:tcBorders>
                    <w:tl2br w:val="nil"/>
                    <w:tr2bl w:val="nil"/>
                  </w:tcBorders>
                  <w:noWrap w:val="0"/>
                  <w:vAlign w:val="center"/>
                </w:tcPr>
                <w:p w14:paraId="135AB959">
                  <w:pPr>
                    <w:keepNext w:val="0"/>
                    <w:keepLines w:val="0"/>
                    <w:pageBreakBefore w:val="0"/>
                    <w:widowControl w:val="0"/>
                    <w:wordWrap/>
                    <w:topLinePunct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rPr>
                  </w:pPr>
                </w:p>
              </w:tc>
              <w:tc>
                <w:tcPr>
                  <w:tcW w:w="614" w:type="pct"/>
                  <w:vMerge w:val="continue"/>
                  <w:tcBorders>
                    <w:tl2br w:val="nil"/>
                    <w:tr2bl w:val="nil"/>
                  </w:tcBorders>
                  <w:noWrap w:val="0"/>
                  <w:vAlign w:val="center"/>
                </w:tcPr>
                <w:p w14:paraId="02398EAC">
                  <w:pPr>
                    <w:keepNext w:val="0"/>
                    <w:keepLines w:val="0"/>
                    <w:pageBreakBefore w:val="0"/>
                    <w:widowControl w:val="0"/>
                    <w:wordWrap/>
                    <w:topLinePunct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rPr>
                  </w:pPr>
                </w:p>
              </w:tc>
              <w:tc>
                <w:tcPr>
                  <w:tcW w:w="439" w:type="pct"/>
                  <w:vMerge w:val="continue"/>
                  <w:tcBorders>
                    <w:tl2br w:val="nil"/>
                    <w:tr2bl w:val="nil"/>
                  </w:tcBorders>
                  <w:noWrap w:val="0"/>
                  <w:vAlign w:val="center"/>
                </w:tcPr>
                <w:p w14:paraId="64834560">
                  <w:pPr>
                    <w:keepNext w:val="0"/>
                    <w:keepLines w:val="0"/>
                    <w:pageBreakBefore w:val="0"/>
                    <w:widowControl w:val="0"/>
                    <w:wordWrap/>
                    <w:topLinePunct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rPr>
                  </w:pPr>
                </w:p>
              </w:tc>
              <w:tc>
                <w:tcPr>
                  <w:tcW w:w="428" w:type="pct"/>
                  <w:vMerge w:val="continue"/>
                  <w:tcBorders>
                    <w:tl2br w:val="nil"/>
                    <w:tr2bl w:val="nil"/>
                  </w:tcBorders>
                  <w:noWrap w:val="0"/>
                  <w:vAlign w:val="center"/>
                </w:tcPr>
                <w:p w14:paraId="3D7A5275">
                  <w:pPr>
                    <w:keepNext w:val="0"/>
                    <w:keepLines w:val="0"/>
                    <w:pageBreakBefore w:val="0"/>
                    <w:widowControl w:val="0"/>
                    <w:wordWrap/>
                    <w:topLinePunct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rPr>
                  </w:pPr>
                </w:p>
              </w:tc>
              <w:tc>
                <w:tcPr>
                  <w:tcW w:w="663" w:type="pct"/>
                  <w:vMerge w:val="continue"/>
                  <w:tcBorders>
                    <w:tl2br w:val="nil"/>
                    <w:tr2bl w:val="nil"/>
                  </w:tcBorders>
                  <w:noWrap w:val="0"/>
                  <w:vAlign w:val="center"/>
                </w:tcPr>
                <w:p w14:paraId="6A47A20D">
                  <w:pPr>
                    <w:keepNext w:val="0"/>
                    <w:keepLines w:val="0"/>
                    <w:pageBreakBefore w:val="0"/>
                    <w:widowControl w:val="0"/>
                    <w:wordWrap/>
                    <w:topLinePunct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rPr>
                  </w:pPr>
                </w:p>
              </w:tc>
              <w:tc>
                <w:tcPr>
                  <w:tcW w:w="614" w:type="pct"/>
                  <w:vMerge w:val="continue"/>
                  <w:tcBorders>
                    <w:tl2br w:val="nil"/>
                    <w:tr2bl w:val="nil"/>
                  </w:tcBorders>
                  <w:noWrap w:val="0"/>
                  <w:vAlign w:val="center"/>
                </w:tcPr>
                <w:p w14:paraId="0E726502">
                  <w:pPr>
                    <w:keepNext w:val="0"/>
                    <w:keepLines w:val="0"/>
                    <w:pageBreakBefore w:val="0"/>
                    <w:widowControl w:val="0"/>
                    <w:wordWrap/>
                    <w:topLinePunct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rPr>
                  </w:pPr>
                </w:p>
              </w:tc>
            </w:tr>
            <w:tr w14:paraId="5A1516B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437" w:hRule="atLeast"/>
                <w:jc w:val="center"/>
              </w:trPr>
              <w:tc>
                <w:tcPr>
                  <w:tcW w:w="429" w:type="pct"/>
                  <w:tcBorders>
                    <w:tl2br w:val="nil"/>
                    <w:tr2bl w:val="nil"/>
                  </w:tcBorders>
                  <w:noWrap w:val="0"/>
                  <w:vAlign w:val="center"/>
                </w:tcPr>
                <w:p w14:paraId="33A16BA2">
                  <w:pPr>
                    <w:rPr>
                      <w:rFonts w:hint="default" w:ascii="宋体" w:hAnsi="宋体" w:eastAsia="宋体" w:cs="Times New Roman"/>
                      <w:sz w:val="21"/>
                      <w:szCs w:val="21"/>
                      <w:lang w:val="en-US" w:eastAsia="zh-CN"/>
                    </w:rPr>
                  </w:pPr>
                  <w:r>
                    <w:rPr>
                      <w:rFonts w:hint="eastAsia" w:ascii="宋体" w:hAnsi="宋体" w:eastAsia="宋体" w:cs="Times New Roman"/>
                      <w:sz w:val="21"/>
                      <w:szCs w:val="21"/>
                    </w:rPr>
                    <w:t>Ⅱ 准噶尔盆地温性荒漠与绿洲农业生态区</w:t>
                  </w:r>
                </w:p>
              </w:tc>
              <w:tc>
                <w:tcPr>
                  <w:tcW w:w="535" w:type="pct"/>
                  <w:tcBorders>
                    <w:tl2br w:val="nil"/>
                    <w:tr2bl w:val="nil"/>
                  </w:tcBorders>
                  <w:noWrap w:val="0"/>
                  <w:vAlign w:val="center"/>
                </w:tcPr>
                <w:p w14:paraId="3677D49E">
                  <w:pPr>
                    <w:rPr>
                      <w:rFonts w:hint="default" w:ascii="宋体" w:hAnsi="宋体" w:eastAsia="宋体" w:cs="Times New Roman"/>
                      <w:sz w:val="21"/>
                      <w:szCs w:val="21"/>
                      <w:lang w:val="en-US" w:eastAsia="zh-CN"/>
                    </w:rPr>
                  </w:pPr>
                  <w:r>
                    <w:rPr>
                      <w:rFonts w:hint="eastAsia" w:ascii="宋体" w:hAnsi="宋体" w:eastAsia="宋体" w:cs="Times New Roman"/>
                      <w:sz w:val="21"/>
                      <w:szCs w:val="21"/>
                    </w:rPr>
                    <w:t>Ⅱ5 准噶尔盆地南部荒漠绿洲农业生态亚区</w:t>
                  </w:r>
                </w:p>
              </w:tc>
              <w:tc>
                <w:tcPr>
                  <w:tcW w:w="487" w:type="pct"/>
                  <w:tcBorders>
                    <w:tl2br w:val="nil"/>
                    <w:tr2bl w:val="nil"/>
                  </w:tcBorders>
                  <w:noWrap w:val="0"/>
                  <w:vAlign w:val="center"/>
                </w:tcPr>
                <w:p w14:paraId="038C6EFC">
                  <w:pPr>
                    <w:rPr>
                      <w:rFonts w:hint="eastAsia" w:ascii="宋体" w:hAnsi="宋体" w:eastAsia="宋体" w:cs="Times New Roman"/>
                      <w:sz w:val="21"/>
                      <w:szCs w:val="21"/>
                    </w:rPr>
                  </w:pPr>
                  <w:r>
                    <w:rPr>
                      <w:rFonts w:hint="eastAsia" w:ascii="宋体" w:hAnsi="宋体" w:eastAsia="宋体" w:cs="Times New Roman"/>
                      <w:sz w:val="21"/>
                      <w:szCs w:val="21"/>
                    </w:rPr>
                    <w:t>27．乌鲁木齐城市及城郊农业生态功能区</w:t>
                  </w:r>
                </w:p>
                <w:p w14:paraId="183E07FE">
                  <w:pPr>
                    <w:rPr>
                      <w:rFonts w:hint="default" w:ascii="宋体" w:hAnsi="宋体" w:eastAsia="宋体" w:cs="Times New Roman"/>
                      <w:sz w:val="21"/>
                      <w:szCs w:val="21"/>
                      <w:lang w:val="en-US" w:eastAsia="zh-CN"/>
                    </w:rPr>
                  </w:pPr>
                </w:p>
              </w:tc>
              <w:tc>
                <w:tcPr>
                  <w:tcW w:w="393" w:type="pct"/>
                  <w:tcBorders>
                    <w:tl2br w:val="nil"/>
                    <w:tr2bl w:val="nil"/>
                  </w:tcBorders>
                  <w:noWrap w:val="0"/>
                  <w:vAlign w:val="center"/>
                </w:tcPr>
                <w:p w14:paraId="35EAC6FB">
                  <w:pPr>
                    <w:rPr>
                      <w:rFonts w:hint="default" w:ascii="宋体" w:hAnsi="宋体" w:eastAsia="宋体" w:cs="Times New Roman"/>
                      <w:sz w:val="21"/>
                      <w:szCs w:val="21"/>
                      <w:lang w:val="en-US" w:eastAsia="zh-CN"/>
                    </w:rPr>
                  </w:pPr>
                  <w:r>
                    <w:rPr>
                      <w:rFonts w:hint="eastAsia" w:ascii="宋体" w:hAnsi="宋体" w:eastAsia="宋体" w:cs="Times New Roman"/>
                      <w:sz w:val="21"/>
                      <w:szCs w:val="21"/>
                    </w:rPr>
                    <w:t>乌鲁木齐市、米泉市</w:t>
                  </w:r>
                </w:p>
              </w:tc>
              <w:tc>
                <w:tcPr>
                  <w:tcW w:w="393" w:type="pct"/>
                  <w:tcBorders>
                    <w:tl2br w:val="nil"/>
                    <w:tr2bl w:val="nil"/>
                  </w:tcBorders>
                  <w:noWrap w:val="0"/>
                  <w:vAlign w:val="center"/>
                </w:tcPr>
                <w:p w14:paraId="08ABED13">
                  <w:pPr>
                    <w:rPr>
                      <w:rFonts w:hint="default" w:ascii="宋体" w:hAnsi="宋体" w:eastAsia="宋体" w:cs="Times New Roman"/>
                      <w:sz w:val="21"/>
                      <w:szCs w:val="21"/>
                      <w:lang w:val="en-US" w:eastAsia="zh-CN"/>
                    </w:rPr>
                  </w:pPr>
                  <w:r>
                    <w:rPr>
                      <w:rFonts w:hint="eastAsia" w:ascii="宋体" w:hAnsi="宋体" w:eastAsia="宋体" w:cs="Times New Roman"/>
                      <w:sz w:val="21"/>
                      <w:szCs w:val="21"/>
                    </w:rPr>
                    <w:t>人居环境、工农业产品生产、旅游</w:t>
                  </w:r>
                </w:p>
              </w:tc>
              <w:tc>
                <w:tcPr>
                  <w:tcW w:w="614" w:type="pct"/>
                  <w:tcBorders>
                    <w:tl2br w:val="nil"/>
                    <w:tr2bl w:val="nil"/>
                  </w:tcBorders>
                  <w:noWrap w:val="0"/>
                  <w:vAlign w:val="center"/>
                </w:tcPr>
                <w:p w14:paraId="7EDF145D">
                  <w:pPr>
                    <w:rPr>
                      <w:rFonts w:hint="default" w:ascii="宋体" w:hAnsi="宋体" w:eastAsia="宋体" w:cs="Times New Roman"/>
                      <w:sz w:val="21"/>
                      <w:szCs w:val="21"/>
                      <w:lang w:val="en-US" w:eastAsia="zh-CN"/>
                    </w:rPr>
                  </w:pPr>
                  <w:r>
                    <w:rPr>
                      <w:rFonts w:hint="eastAsia" w:ascii="宋体" w:hAnsi="宋体" w:eastAsia="宋体" w:cs="Times New Roman"/>
                      <w:sz w:val="21"/>
                      <w:szCs w:val="21"/>
                    </w:rPr>
                    <w:t>大气污染严重、水质污染、城市绿化面积不足、供水紧缺、湿地萎缩、土壤质量下降</w:t>
                  </w:r>
                </w:p>
              </w:tc>
              <w:tc>
                <w:tcPr>
                  <w:tcW w:w="439" w:type="pct"/>
                  <w:tcBorders>
                    <w:tl2br w:val="nil"/>
                    <w:tr2bl w:val="nil"/>
                  </w:tcBorders>
                  <w:noWrap w:val="0"/>
                  <w:vAlign w:val="center"/>
                </w:tcPr>
                <w:p w14:paraId="7A464E03">
                  <w:pPr>
                    <w:rPr>
                      <w:rFonts w:hint="default" w:ascii="宋体" w:hAnsi="宋体" w:eastAsia="宋体" w:cs="Times New Roman"/>
                      <w:sz w:val="21"/>
                      <w:szCs w:val="21"/>
                      <w:lang w:val="en-US" w:eastAsia="zh-CN"/>
                    </w:rPr>
                  </w:pPr>
                  <w:r>
                    <w:rPr>
                      <w:rFonts w:hint="eastAsia" w:ascii="宋体" w:hAnsi="宋体" w:eastAsia="宋体" w:cs="Times New Roman"/>
                      <w:sz w:val="21"/>
                      <w:szCs w:val="21"/>
                    </w:rPr>
                    <w:t>生物多样性及其生境中度敏感</w:t>
                  </w:r>
                </w:p>
              </w:tc>
              <w:tc>
                <w:tcPr>
                  <w:tcW w:w="428" w:type="pct"/>
                  <w:tcBorders>
                    <w:tl2br w:val="nil"/>
                    <w:tr2bl w:val="nil"/>
                  </w:tcBorders>
                  <w:noWrap w:val="0"/>
                  <w:vAlign w:val="center"/>
                </w:tcPr>
                <w:p w14:paraId="16A69AF6">
                  <w:pPr>
                    <w:rPr>
                      <w:rFonts w:hint="default" w:ascii="宋体" w:hAnsi="宋体" w:eastAsia="宋体" w:cs="Times New Roman"/>
                      <w:sz w:val="21"/>
                      <w:szCs w:val="21"/>
                      <w:lang w:val="en-US" w:eastAsia="zh-CN"/>
                    </w:rPr>
                  </w:pPr>
                  <w:r>
                    <w:rPr>
                      <w:rFonts w:hint="eastAsia" w:ascii="宋体" w:hAnsi="宋体" w:eastAsia="宋体" w:cs="Times New Roman"/>
                      <w:sz w:val="21"/>
                      <w:szCs w:val="21"/>
                    </w:rPr>
                    <w:t>保护水源地、保护城市大气和水环境质量、保护城市绿地及景观多样性</w:t>
                  </w:r>
                </w:p>
              </w:tc>
              <w:tc>
                <w:tcPr>
                  <w:tcW w:w="663" w:type="pct"/>
                  <w:tcBorders>
                    <w:tl2br w:val="nil"/>
                    <w:tr2bl w:val="nil"/>
                  </w:tcBorders>
                  <w:noWrap w:val="0"/>
                  <w:vAlign w:val="center"/>
                </w:tcPr>
                <w:p w14:paraId="5EF0FC9E">
                  <w:pPr>
                    <w:rPr>
                      <w:rFonts w:hint="eastAsia" w:ascii="宋体" w:hAnsi="宋体" w:eastAsia="宋体" w:cs="Times New Roman"/>
                      <w:sz w:val="21"/>
                      <w:szCs w:val="21"/>
                    </w:rPr>
                  </w:pPr>
                  <w:r>
                    <w:rPr>
                      <w:rFonts w:hint="eastAsia" w:ascii="宋体" w:hAnsi="宋体" w:eastAsia="宋体" w:cs="Times New Roman"/>
                      <w:sz w:val="21"/>
                      <w:szCs w:val="21"/>
                    </w:rPr>
                    <w:t>节水与新开水源、荒山绿化、调整能源结构、治理污染及降低工业排污量、完善防护林体系、搬迁大气污染严重企业</w:t>
                  </w:r>
                </w:p>
                <w:p w14:paraId="763B1D8D">
                  <w:pPr>
                    <w:rPr>
                      <w:rFonts w:hint="default" w:ascii="宋体" w:hAnsi="宋体" w:eastAsia="宋体" w:cs="Times New Roman"/>
                      <w:sz w:val="21"/>
                      <w:szCs w:val="21"/>
                      <w:lang w:val="en-US" w:eastAsia="zh-CN"/>
                    </w:rPr>
                  </w:pPr>
                </w:p>
              </w:tc>
              <w:tc>
                <w:tcPr>
                  <w:tcW w:w="614" w:type="pct"/>
                  <w:tcBorders>
                    <w:tl2br w:val="nil"/>
                    <w:tr2bl w:val="nil"/>
                  </w:tcBorders>
                  <w:noWrap w:val="0"/>
                  <w:vAlign w:val="center"/>
                </w:tcPr>
                <w:p w14:paraId="44A21E5A">
                  <w:pPr>
                    <w:rPr>
                      <w:rFonts w:hint="default" w:ascii="宋体" w:hAnsi="宋体" w:eastAsia="宋体" w:cs="Times New Roman"/>
                      <w:sz w:val="21"/>
                      <w:szCs w:val="21"/>
                      <w:lang w:val="en-US" w:eastAsia="zh-CN"/>
                    </w:rPr>
                  </w:pPr>
                  <w:r>
                    <w:rPr>
                      <w:rFonts w:hint="eastAsia" w:ascii="宋体" w:hAnsi="宋体" w:eastAsia="宋体" w:cs="Times New Roman"/>
                      <w:sz w:val="21"/>
                      <w:szCs w:val="21"/>
                    </w:rPr>
                    <w:t>加强城市生态建设，发展成中国西部文化、商贸、旅游国际化大都市，发展城郊农业及养殖业</w:t>
                  </w:r>
                </w:p>
              </w:tc>
            </w:tr>
          </w:tbl>
          <w:p w14:paraId="75BB2205">
            <w:pPr>
              <w:pStyle w:val="30"/>
              <w:keepNext w:val="0"/>
              <w:keepLines w:val="0"/>
              <w:pageBreakBefore w:val="0"/>
              <w:widowControl w:val="0"/>
              <w:kinsoku/>
              <w:wordWrap/>
              <w:overflowPunct/>
              <w:topLinePunct w:val="0"/>
              <w:autoSpaceDE/>
              <w:autoSpaceDN/>
              <w:bidi w:val="0"/>
              <w:adjustRightInd/>
              <w:snapToGrid w:val="0"/>
              <w:spacing w:before="157" w:beforeLines="50" w:line="360" w:lineRule="auto"/>
              <w:ind w:firstLine="480" w:firstLineChars="200"/>
              <w:textAlignment w:val="auto"/>
              <w:rPr>
                <w:rFonts w:hint="default" w:ascii="Times New Roman" w:hAnsi="Times New Roman" w:eastAsia="宋体" w:cs="Times New Roman"/>
                <w:color w:val="auto"/>
                <w:kern w:val="2"/>
                <w:sz w:val="24"/>
                <w:szCs w:val="21"/>
                <w:highlight w:val="none"/>
                <w:lang w:val="en-US" w:eastAsia="zh-CN"/>
              </w:rPr>
            </w:pPr>
            <w:r>
              <w:rPr>
                <w:rFonts w:hint="default" w:ascii="Times New Roman" w:hAnsi="Times New Roman" w:eastAsia="宋体" w:cs="Times New Roman"/>
                <w:color w:val="auto"/>
                <w:kern w:val="2"/>
                <w:sz w:val="24"/>
                <w:szCs w:val="21"/>
                <w:highlight w:val="none"/>
                <w:lang w:val="en-US" w:eastAsia="zh-CN"/>
              </w:rPr>
              <w:t xml:space="preserve"> （3）生态现状</w:t>
            </w:r>
          </w:p>
          <w:p w14:paraId="0BEEE580">
            <w:pPr>
              <w:pStyle w:val="30"/>
              <w:keepNext w:val="0"/>
              <w:keepLines w:val="0"/>
              <w:pageBreakBefore w:val="0"/>
              <w:widowControl w:val="0"/>
              <w:wordWrap/>
              <w:topLinePunct w:val="0"/>
              <w:bidi w:val="0"/>
              <w:snapToGrid w:val="0"/>
              <w:spacing w:line="360" w:lineRule="auto"/>
              <w:ind w:left="479" w:leftChars="228" w:firstLine="0" w:firstLineChars="0"/>
              <w:jc w:val="both"/>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①土壤：</w:t>
            </w:r>
            <w:r>
              <w:rPr>
                <w:rFonts w:hint="default" w:ascii="Times New Roman" w:hAnsi="Times New Roman" w:eastAsia="宋体" w:cs="Times New Roman"/>
                <w:color w:val="auto"/>
                <w:sz w:val="24"/>
                <w:highlight w:val="none"/>
                <w:lang w:val="en-US" w:eastAsia="zh-CN"/>
              </w:rPr>
              <w:t>根据土壤类型图</w:t>
            </w:r>
            <w:r>
              <w:rPr>
                <w:rFonts w:hint="eastAsia" w:ascii="Times New Roman" w:hAnsi="Times New Roman" w:eastAsia="宋体" w:cs="Times New Roman"/>
                <w:color w:val="auto"/>
                <w:sz w:val="24"/>
                <w:highlight w:val="none"/>
                <w:lang w:val="en-US" w:eastAsia="zh-CN"/>
              </w:rPr>
              <w:t>（图3-3）</w:t>
            </w:r>
            <w:r>
              <w:rPr>
                <w:rFonts w:hint="default" w:ascii="Times New Roman" w:hAnsi="Times New Roman" w:eastAsia="宋体" w:cs="Times New Roman"/>
                <w:color w:val="auto"/>
                <w:sz w:val="24"/>
                <w:highlight w:val="none"/>
                <w:lang w:val="en-US" w:eastAsia="zh-CN"/>
              </w:rPr>
              <w:t>，项目</w:t>
            </w:r>
            <w:r>
              <w:rPr>
                <w:rFonts w:hint="eastAsia" w:ascii="Times New Roman" w:hAnsi="Times New Roman" w:eastAsia="宋体" w:cs="Times New Roman"/>
                <w:color w:val="auto"/>
                <w:sz w:val="24"/>
                <w:highlight w:val="none"/>
                <w:lang w:val="en-US" w:eastAsia="zh-CN"/>
              </w:rPr>
              <w:t>区</w:t>
            </w:r>
            <w:r>
              <w:rPr>
                <w:rFonts w:hint="default" w:ascii="Times New Roman" w:hAnsi="Times New Roman" w:eastAsia="宋体" w:cs="Times New Roman"/>
                <w:color w:val="auto"/>
                <w:sz w:val="24"/>
                <w:highlight w:val="none"/>
                <w:lang w:val="en-US" w:eastAsia="zh-CN"/>
              </w:rPr>
              <w:t>土壤</w:t>
            </w:r>
            <w:r>
              <w:rPr>
                <w:rFonts w:hint="default" w:ascii="Times New Roman" w:hAnsi="Times New Roman" w:eastAsia="宋体" w:cs="Times New Roman"/>
                <w:color w:val="auto"/>
                <w:sz w:val="24"/>
                <w:highlight w:val="none"/>
                <w:lang w:eastAsia="zh-CN"/>
              </w:rPr>
              <w:t>以</w:t>
            </w:r>
            <w:r>
              <w:rPr>
                <w:rFonts w:hint="eastAsia" w:ascii="Times New Roman" w:hAnsi="Times New Roman" w:eastAsia="宋体" w:cs="Times New Roman"/>
                <w:color w:val="auto"/>
                <w:sz w:val="24"/>
                <w:highlight w:val="none"/>
                <w:lang w:val="en-US" w:eastAsia="zh-CN"/>
              </w:rPr>
              <w:t>盐化草甸土、干旱</w:t>
            </w:r>
          </w:p>
          <w:p w14:paraId="267AD025">
            <w:pPr>
              <w:pStyle w:val="30"/>
              <w:keepNext w:val="0"/>
              <w:keepLines w:val="0"/>
              <w:pageBreakBefore w:val="0"/>
              <w:widowControl w:val="0"/>
              <w:wordWrap/>
              <w:topLinePunct w:val="0"/>
              <w:bidi w:val="0"/>
              <w:snapToGrid w:val="0"/>
              <w:spacing w:line="360" w:lineRule="auto"/>
              <w:jc w:val="both"/>
              <w:rPr>
                <w:rFonts w:hint="default"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val="en-US" w:eastAsia="zh-CN"/>
              </w:rPr>
              <w:t>盐土</w:t>
            </w:r>
            <w:r>
              <w:rPr>
                <w:rFonts w:hint="default" w:ascii="Times New Roman" w:hAnsi="Times New Roman" w:eastAsia="宋体" w:cs="Times New Roman"/>
                <w:color w:val="auto"/>
                <w:sz w:val="24"/>
                <w:highlight w:val="none"/>
                <w:lang w:eastAsia="zh-CN"/>
              </w:rPr>
              <w:t>为主。</w:t>
            </w:r>
          </w:p>
          <w:p w14:paraId="3FFAC1A9">
            <w:pPr>
              <w:pStyle w:val="30"/>
              <w:keepNext w:val="0"/>
              <w:keepLines w:val="0"/>
              <w:pageBreakBefore w:val="0"/>
              <w:widowControl w:val="0"/>
              <w:wordWrap/>
              <w:topLinePunct w:val="0"/>
              <w:bidi w:val="0"/>
              <w:snapToGrid w:val="0"/>
              <w:spacing w:line="360" w:lineRule="auto"/>
              <w:ind w:firstLine="480" w:firstLineChars="200"/>
              <w:jc w:val="both"/>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②土地利用类型：</w:t>
            </w:r>
            <w:r>
              <w:rPr>
                <w:rFonts w:hint="default" w:ascii="Times New Roman" w:hAnsi="Times New Roman" w:eastAsia="宋体" w:cs="Times New Roman"/>
                <w:color w:val="auto"/>
                <w:sz w:val="24"/>
                <w:highlight w:val="none"/>
                <w:lang w:val="en-US" w:eastAsia="zh-CN"/>
              </w:rPr>
              <w:t>根据土地利用现状图</w:t>
            </w:r>
            <w:r>
              <w:rPr>
                <w:rFonts w:hint="eastAsia" w:ascii="Times New Roman" w:hAnsi="Times New Roman" w:eastAsia="宋体" w:cs="Times New Roman"/>
                <w:color w:val="auto"/>
                <w:sz w:val="24"/>
                <w:highlight w:val="none"/>
                <w:lang w:val="en-US" w:eastAsia="zh-CN"/>
              </w:rPr>
              <w:t>（图3-4）</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eastAsia="zh-CN"/>
              </w:rPr>
              <w:t>项目</w:t>
            </w:r>
            <w:r>
              <w:rPr>
                <w:rFonts w:hint="eastAsia" w:ascii="Times New Roman" w:hAnsi="Times New Roman" w:eastAsia="宋体" w:cs="Times New Roman"/>
                <w:color w:val="auto"/>
                <w:sz w:val="24"/>
                <w:highlight w:val="none"/>
                <w:lang w:val="en-US" w:eastAsia="zh-CN"/>
              </w:rPr>
              <w:t>区</w:t>
            </w:r>
            <w:r>
              <w:rPr>
                <w:rFonts w:hint="default" w:ascii="Times New Roman" w:hAnsi="Times New Roman" w:eastAsia="宋体" w:cs="Times New Roman"/>
                <w:color w:val="auto"/>
                <w:sz w:val="24"/>
                <w:highlight w:val="none"/>
                <w:lang w:eastAsia="zh-CN"/>
              </w:rPr>
              <w:t>土地</w:t>
            </w:r>
            <w:r>
              <w:rPr>
                <w:rFonts w:hint="default" w:ascii="Times New Roman" w:hAnsi="Times New Roman" w:eastAsia="宋体" w:cs="Times New Roman"/>
                <w:color w:val="auto"/>
                <w:sz w:val="24"/>
                <w:highlight w:val="none"/>
                <w:lang w:val="en-US" w:eastAsia="zh-CN"/>
              </w:rPr>
              <w:t>利用</w:t>
            </w:r>
            <w:r>
              <w:rPr>
                <w:rFonts w:hint="default" w:ascii="Times New Roman" w:hAnsi="Times New Roman" w:eastAsia="宋体" w:cs="Times New Roman"/>
                <w:color w:val="auto"/>
                <w:sz w:val="24"/>
                <w:highlight w:val="none"/>
                <w:lang w:eastAsia="zh-CN"/>
              </w:rPr>
              <w:t>类型以</w:t>
            </w:r>
            <w:r>
              <w:rPr>
                <w:rFonts w:hint="eastAsia" w:ascii="Times New Roman" w:hAnsi="Times New Roman" w:eastAsia="宋体" w:cs="Times New Roman"/>
                <w:color w:val="auto"/>
                <w:sz w:val="24"/>
                <w:highlight w:val="none"/>
                <w:lang w:val="en-US" w:eastAsia="zh-CN"/>
              </w:rPr>
              <w:t>草地</w:t>
            </w:r>
            <w:r>
              <w:rPr>
                <w:rFonts w:hint="default" w:ascii="Times New Roman" w:hAnsi="Times New Roman" w:eastAsia="宋体" w:cs="Times New Roman"/>
                <w:color w:val="auto"/>
                <w:sz w:val="24"/>
                <w:highlight w:val="none"/>
                <w:lang w:eastAsia="zh-CN"/>
              </w:rPr>
              <w:t>为主。</w:t>
            </w:r>
          </w:p>
          <w:p w14:paraId="4C59B551">
            <w:pPr>
              <w:pStyle w:val="30"/>
              <w:keepNext w:val="0"/>
              <w:keepLines w:val="0"/>
              <w:pageBreakBefore w:val="0"/>
              <w:widowControl w:val="0"/>
              <w:wordWrap/>
              <w:topLinePunct w:val="0"/>
              <w:bidi w:val="0"/>
              <w:snapToGrid w:val="0"/>
              <w:spacing w:line="360" w:lineRule="auto"/>
              <w:ind w:left="479" w:leftChars="228" w:firstLine="0" w:firstLineChars="0"/>
              <w:jc w:val="both"/>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③植被：</w:t>
            </w:r>
            <w:r>
              <w:rPr>
                <w:rFonts w:hint="default" w:ascii="Times New Roman" w:hAnsi="Times New Roman" w:eastAsia="宋体" w:cs="Times New Roman"/>
                <w:color w:val="auto"/>
                <w:sz w:val="24"/>
                <w:highlight w:val="none"/>
                <w:lang w:val="en-US" w:eastAsia="zh-CN"/>
              </w:rPr>
              <w:t>根据植被类型图</w:t>
            </w:r>
            <w:r>
              <w:rPr>
                <w:rFonts w:hint="eastAsia" w:ascii="Times New Roman" w:hAnsi="Times New Roman" w:eastAsia="宋体" w:cs="Times New Roman"/>
                <w:color w:val="auto"/>
                <w:sz w:val="24"/>
                <w:highlight w:val="none"/>
                <w:lang w:val="en-US" w:eastAsia="zh-CN"/>
              </w:rPr>
              <w:t>（图3-5）</w:t>
            </w:r>
            <w:r>
              <w:rPr>
                <w:rFonts w:hint="default" w:ascii="Times New Roman" w:hAnsi="Times New Roman" w:eastAsia="宋体" w:cs="Times New Roman"/>
                <w:color w:val="auto"/>
                <w:sz w:val="24"/>
                <w:highlight w:val="none"/>
                <w:lang w:val="en-US" w:eastAsia="zh-CN"/>
              </w:rPr>
              <w:t>，项目</w:t>
            </w:r>
            <w:r>
              <w:rPr>
                <w:rFonts w:hint="default" w:ascii="Times New Roman" w:hAnsi="Times New Roman" w:eastAsia="宋体" w:cs="Times New Roman"/>
                <w:color w:val="auto"/>
                <w:sz w:val="24"/>
                <w:highlight w:val="none"/>
                <w:lang w:eastAsia="zh-CN"/>
              </w:rPr>
              <w:t>区域以</w:t>
            </w:r>
            <w:r>
              <w:rPr>
                <w:rFonts w:hint="default" w:ascii="Times New Roman" w:hAnsi="Times New Roman" w:eastAsia="宋体" w:cs="Times New Roman"/>
                <w:color w:val="auto"/>
                <w:sz w:val="24"/>
                <w:highlight w:val="none"/>
                <w:lang w:val="en-US" w:eastAsia="zh-CN"/>
              </w:rPr>
              <w:t>荒漠</w:t>
            </w:r>
            <w:r>
              <w:rPr>
                <w:rFonts w:hint="eastAsia" w:ascii="Times New Roman" w:hAnsi="Times New Roman" w:eastAsia="宋体" w:cs="Times New Roman"/>
                <w:color w:val="auto"/>
                <w:sz w:val="24"/>
                <w:highlight w:val="none"/>
                <w:lang w:val="en-US" w:eastAsia="zh-CN"/>
              </w:rPr>
              <w:t>植被</w:t>
            </w:r>
            <w:r>
              <w:rPr>
                <w:rFonts w:hint="default" w:ascii="Times New Roman" w:hAnsi="Times New Roman" w:eastAsia="宋体" w:cs="Times New Roman"/>
                <w:color w:val="auto"/>
                <w:sz w:val="24"/>
                <w:highlight w:val="none"/>
                <w:lang w:eastAsia="zh-CN"/>
              </w:rPr>
              <w:t>为主，</w:t>
            </w:r>
            <w:r>
              <w:rPr>
                <w:rFonts w:hint="eastAsia" w:ascii="Times New Roman" w:hAnsi="Times New Roman" w:eastAsia="宋体" w:cs="Times New Roman"/>
                <w:color w:val="auto"/>
                <w:sz w:val="24"/>
                <w:highlight w:val="none"/>
                <w:lang w:val="en-US" w:eastAsia="zh-CN"/>
              </w:rPr>
              <w:t>主要</w:t>
            </w:r>
          </w:p>
          <w:p w14:paraId="30838E01">
            <w:pPr>
              <w:pStyle w:val="30"/>
              <w:keepNext w:val="0"/>
              <w:keepLines w:val="0"/>
              <w:pageBreakBefore w:val="0"/>
              <w:widowControl w:val="0"/>
              <w:wordWrap/>
              <w:topLinePunct w:val="0"/>
              <w:bidi w:val="0"/>
              <w:snapToGrid w:val="0"/>
              <w:spacing w:line="360" w:lineRule="auto"/>
              <w:jc w:val="both"/>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植被为盐生灌丛，如盐穗木、盐爪爪、盐生草、骆驼刺等，植被覆盖度约10%。</w:t>
            </w:r>
          </w:p>
          <w:p w14:paraId="482189F4">
            <w:pPr>
              <w:pStyle w:val="30"/>
              <w:keepNext w:val="0"/>
              <w:keepLines w:val="0"/>
              <w:pageBreakBefore w:val="0"/>
              <w:widowControl w:val="0"/>
              <w:wordWrap/>
              <w:topLinePunct w:val="0"/>
              <w:bidi w:val="0"/>
              <w:snapToGrid w:val="0"/>
              <w:spacing w:line="360" w:lineRule="auto"/>
              <w:jc w:val="both"/>
              <w:rPr>
                <w:rFonts w:hint="eastAsia" w:ascii="Times New Roman" w:hAnsi="Times New Roman" w:eastAsia="宋体" w:cs="Times New Roman"/>
                <w:color w:val="auto"/>
                <w:sz w:val="24"/>
                <w:highlight w:val="none"/>
                <w:lang w:val="en-US" w:eastAsia="zh-CN"/>
              </w:rPr>
            </w:pPr>
          </w:p>
          <w:p w14:paraId="1BFC3DC9">
            <w:pPr>
              <w:pStyle w:val="30"/>
              <w:keepNext w:val="0"/>
              <w:keepLines w:val="0"/>
              <w:pageBreakBefore w:val="0"/>
              <w:widowControl w:val="0"/>
              <w:wordWrap/>
              <w:topLinePunct w:val="0"/>
              <w:bidi w:val="0"/>
              <w:snapToGrid w:val="0"/>
              <w:spacing w:line="360" w:lineRule="auto"/>
              <w:jc w:val="both"/>
              <w:rPr>
                <w:rFonts w:hint="eastAsia" w:ascii="Times New Roman" w:hAnsi="Times New Roman" w:eastAsia="宋体" w:cs="Times New Roman"/>
                <w:color w:val="auto"/>
                <w:sz w:val="24"/>
                <w:highlight w:val="none"/>
                <w:lang w:val="en-US" w:eastAsia="zh-CN"/>
              </w:rPr>
            </w:pPr>
          </w:p>
          <w:p w14:paraId="475C8083">
            <w:pPr>
              <w:pStyle w:val="30"/>
              <w:keepNext w:val="0"/>
              <w:keepLines w:val="0"/>
              <w:pageBreakBefore w:val="0"/>
              <w:widowControl w:val="0"/>
              <w:wordWrap/>
              <w:topLinePunct w:val="0"/>
              <w:bidi w:val="0"/>
              <w:snapToGrid w:val="0"/>
              <w:spacing w:line="360" w:lineRule="auto"/>
              <w:jc w:val="both"/>
              <w:rPr>
                <w:rFonts w:hint="eastAsia" w:ascii="Times New Roman" w:hAnsi="Times New Roman" w:eastAsia="宋体" w:cs="Times New Roman"/>
                <w:color w:val="auto"/>
                <w:sz w:val="24"/>
                <w:highlight w:val="none"/>
                <w:lang w:val="en-US" w:eastAsia="zh-CN"/>
              </w:rPr>
            </w:pPr>
          </w:p>
          <w:p w14:paraId="68F29961">
            <w:pPr>
              <w:pStyle w:val="30"/>
              <w:keepNext w:val="0"/>
              <w:keepLines w:val="0"/>
              <w:pageBreakBefore w:val="0"/>
              <w:widowControl w:val="0"/>
              <w:wordWrap/>
              <w:topLinePunct w:val="0"/>
              <w:bidi w:val="0"/>
              <w:snapToGrid w:val="0"/>
              <w:spacing w:line="360" w:lineRule="auto"/>
              <w:jc w:val="both"/>
              <w:rPr>
                <w:rFonts w:hint="default" w:ascii="Times New Roman" w:hAnsi="Times New Roman" w:eastAsia="宋体" w:cs="Times New Roman"/>
                <w:color w:val="auto"/>
                <w:sz w:val="24"/>
                <w:highlight w:val="none"/>
                <w:lang w:val="en-US" w:eastAsia="zh-CN"/>
              </w:rPr>
            </w:pPr>
          </w:p>
          <w:p w14:paraId="68788A5F">
            <w:pPr>
              <w:pStyle w:val="30"/>
              <w:keepNext w:val="0"/>
              <w:keepLines w:val="0"/>
              <w:pageBreakBefore w:val="0"/>
              <w:widowControl w:val="0"/>
              <w:wordWrap/>
              <w:topLinePunct w:val="0"/>
              <w:bidi w:val="0"/>
              <w:snapToGrid w:val="0"/>
              <w:spacing w:line="360" w:lineRule="auto"/>
              <w:jc w:val="both"/>
              <w:rPr>
                <w:rFonts w:hint="default" w:ascii="Times New Roman" w:hAnsi="Times New Roman" w:eastAsia="宋体" w:cs="Times New Roman"/>
                <w:color w:val="auto"/>
                <w:sz w:val="24"/>
                <w:highlight w:val="none"/>
                <w:lang w:val="en-US" w:eastAsia="zh-CN"/>
              </w:rPr>
            </w:pPr>
            <w:r>
              <w:drawing>
                <wp:anchor distT="0" distB="0" distL="114300" distR="114300" simplePos="0" relativeHeight="251669504" behindDoc="0" locked="0" layoutInCell="1" allowOverlap="1">
                  <wp:simplePos x="0" y="0"/>
                  <wp:positionH relativeFrom="column">
                    <wp:posOffset>4078605</wp:posOffset>
                  </wp:positionH>
                  <wp:positionV relativeFrom="paragraph">
                    <wp:posOffset>25400</wp:posOffset>
                  </wp:positionV>
                  <wp:extent cx="870585" cy="672465"/>
                  <wp:effectExtent l="9525" t="9525" r="15240" b="22860"/>
                  <wp:wrapNone/>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5"/>
                          <a:stretch>
                            <a:fillRect/>
                          </a:stretch>
                        </pic:blipFill>
                        <pic:spPr>
                          <a:xfrm>
                            <a:off x="0" y="0"/>
                            <a:ext cx="870585" cy="672465"/>
                          </a:xfrm>
                          <a:prstGeom prst="rect">
                            <a:avLst/>
                          </a:prstGeom>
                          <a:noFill/>
                          <a:ln w="9525" cap="flat" cmpd="sng">
                            <a:solidFill>
                              <a:srgbClr val="000000"/>
                            </a:solidFill>
                            <a:prstDash val="solid"/>
                            <a:miter/>
                            <a:headEnd type="none" w="med" len="med"/>
                            <a:tailEnd type="none" w="med" len="med"/>
                          </a:ln>
                        </pic:spPr>
                      </pic:pic>
                    </a:graphicData>
                  </a:graphic>
                </wp:anchor>
              </w:drawing>
            </w:r>
            <w:r>
              <w:rPr>
                <w:sz w:val="21"/>
              </w:rPr>
              <mc:AlternateContent>
                <mc:Choice Requires="wps">
                  <w:drawing>
                    <wp:anchor distT="0" distB="0" distL="114300" distR="114300" simplePos="0" relativeHeight="251665408" behindDoc="0" locked="0" layoutInCell="1" allowOverlap="1">
                      <wp:simplePos x="0" y="0"/>
                      <wp:positionH relativeFrom="column">
                        <wp:posOffset>161925</wp:posOffset>
                      </wp:positionH>
                      <wp:positionV relativeFrom="paragraph">
                        <wp:posOffset>3288665</wp:posOffset>
                      </wp:positionV>
                      <wp:extent cx="104775" cy="104775"/>
                      <wp:effectExtent l="4445" t="4445" r="5080" b="5080"/>
                      <wp:wrapNone/>
                      <wp:docPr id="6" name="矩形 6"/>
                      <wp:cNvGraphicFramePr/>
                      <a:graphic xmlns:a="http://schemas.openxmlformats.org/drawingml/2006/main">
                        <a:graphicData uri="http://schemas.microsoft.com/office/word/2010/wordprocessingShape">
                          <wps:wsp>
                            <wps:cNvSpPr/>
                            <wps:spPr>
                              <a:xfrm>
                                <a:off x="0" y="0"/>
                                <a:ext cx="104775" cy="104775"/>
                              </a:xfrm>
                              <a:prstGeom prst="rect">
                                <a:avLst/>
                              </a:prstGeom>
                              <a:solidFill>
                                <a:srgbClr val="B3A2C7"/>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2.75pt;margin-top:258.95pt;height:8.25pt;width:8.25pt;z-index:251665408;mso-width-relative:page;mso-height-relative:page;" fillcolor="#B3A2C7" filled="t" stroked="t" coordsize="21600,21600" o:gfxdata="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YDr9XYAAAACQEAAA8AAAAAAAAAAQAgAAAAIgAAAGRycy9kb3ducmV2&#10;LnhtbFBLAQIUABQAAAAIAIdO4kBVuL9x/AEAAB0EAAAOAAAAAAAAAAEAIAAAACcBAABkcnMvZTJv&#10;RG9jLnhtbFBLBQYAAAAABgAGAFkBAACVBQAAAAA=&#10;">
                      <v:fill on="t" focussize="0,0"/>
                      <v:stroke color="#000000" joinstyle="miter"/>
                      <v:imagedata o:title=""/>
                      <o:lock v:ext="edit" aspectratio="f"/>
                    </v:rect>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161925</wp:posOffset>
                      </wp:positionH>
                      <wp:positionV relativeFrom="paragraph">
                        <wp:posOffset>3098165</wp:posOffset>
                      </wp:positionV>
                      <wp:extent cx="95250" cy="95250"/>
                      <wp:effectExtent l="4445" t="4445" r="14605" b="14605"/>
                      <wp:wrapNone/>
                      <wp:docPr id="17" name="矩形 17"/>
                      <wp:cNvGraphicFramePr/>
                      <a:graphic xmlns:a="http://schemas.openxmlformats.org/drawingml/2006/main">
                        <a:graphicData uri="http://schemas.microsoft.com/office/word/2010/wordprocessingShape">
                          <wps:wsp>
                            <wps:cNvSpPr/>
                            <wps:spPr>
                              <a:xfrm>
                                <a:off x="0" y="0"/>
                                <a:ext cx="95250" cy="95250"/>
                              </a:xfrm>
                              <a:prstGeom prst="rect">
                                <a:avLst/>
                              </a:prstGeom>
                              <a:solidFill>
                                <a:srgbClr val="FAC090"/>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2.75pt;margin-top:243.95pt;height:7.5pt;width:7.5pt;z-index:251664384;mso-width-relative:page;mso-height-relative:page;" fillcolor="#FAC090" filled="t" stroked="t" coordsize="21600,21600" o:gfxdata="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9k5wKdgAAAAJAQAADwAAAAAAAAABACAAAAAiAAAAZHJzL2Rvd25yZXYueG1s&#10;UEsBAhQAFAAAAAgAh07iQF7+9ET4AQAAHQQAAA4AAAAAAAAAAQAgAAAAJwEAAGRycy9lMm9Eb2Mu&#10;eG1sUEsFBgAAAAAGAAYAWQEAAJEFAAAAAA==&#10;">
                      <v:fill on="t" focussize="0,0"/>
                      <v:stroke color="#000000" joinstyle="miter"/>
                      <v:imagedata o:title=""/>
                      <o:lock v:ext="edit" aspectratio="f"/>
                    </v:rect>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161925</wp:posOffset>
                      </wp:positionH>
                      <wp:positionV relativeFrom="paragraph">
                        <wp:posOffset>2898140</wp:posOffset>
                      </wp:positionV>
                      <wp:extent cx="104775" cy="104775"/>
                      <wp:effectExtent l="4445" t="4445" r="5080" b="5080"/>
                      <wp:wrapNone/>
                      <wp:docPr id="7" name="矩形 7"/>
                      <wp:cNvGraphicFramePr/>
                      <a:graphic xmlns:a="http://schemas.openxmlformats.org/drawingml/2006/main">
                        <a:graphicData uri="http://schemas.microsoft.com/office/word/2010/wordprocessingShape">
                          <wps:wsp>
                            <wps:cNvSpPr/>
                            <wps:spPr>
                              <a:xfrm>
                                <a:off x="0" y="0"/>
                                <a:ext cx="104775" cy="104775"/>
                              </a:xfrm>
                              <a:prstGeom prst="rect">
                                <a:avLst/>
                              </a:prstGeom>
                              <a:solidFill>
                                <a:srgbClr val="984807"/>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2.75pt;margin-top:228.2pt;height:8.25pt;width:8.25pt;z-index:251663360;mso-width-relative:page;mso-height-relative:page;" fillcolor="#984807" filled="t" stroked="t" coordsize="21600,21600" o:gfxdata="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6tMYbaAAAACQEAAA8AAAAAAAAAAQAgAAAAIgAAAGRycy9kb3ducmV2&#10;LnhtbFBLAQIUABQAAAAIAIdO4kB9uOxS+gEAAB0EAAAOAAAAAAAAAAEAIAAAACkBAABkcnMvZTJv&#10;RG9jLnhtbFBLBQYAAAAABgAGAFkBAACVBQAAAAA=&#10;">
                      <v:fill on="t" focussize="0,0"/>
                      <v:stroke color="#000000" joinstyle="miter"/>
                      <v:imagedata o:title=""/>
                      <o:lock v:ext="edit" aspectratio="f"/>
                    </v:rect>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85725</wp:posOffset>
                      </wp:positionH>
                      <wp:positionV relativeFrom="paragraph">
                        <wp:posOffset>2812415</wp:posOffset>
                      </wp:positionV>
                      <wp:extent cx="1257300" cy="685800"/>
                      <wp:effectExtent l="5080" t="4445" r="13970" b="14605"/>
                      <wp:wrapNone/>
                      <wp:docPr id="18" name="文本框 18"/>
                      <wp:cNvGraphicFramePr/>
                      <a:graphic xmlns:a="http://schemas.openxmlformats.org/drawingml/2006/main">
                        <a:graphicData uri="http://schemas.microsoft.com/office/word/2010/wordprocessingShape">
                          <wps:wsp>
                            <wps:cNvSpPr txBox="1"/>
                            <wps:spPr>
                              <a:xfrm>
                                <a:off x="0" y="0"/>
                                <a:ext cx="1257300"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71991">
                                  <w:pPr>
                                    <w:spacing w:line="240" w:lineRule="auto"/>
                                    <w:rPr>
                                      <w:rFonts w:hint="eastAsia"/>
                                      <w:lang w:val="en-US" w:eastAsia="zh-CN"/>
                                    </w:rPr>
                                  </w:pPr>
                                  <w:r>
                                    <w:rPr>
                                      <w:rFonts w:hint="eastAsia"/>
                                      <w:lang w:val="en-US" w:eastAsia="zh-CN"/>
                                    </w:rPr>
                                    <w:t xml:space="preserve">   干旱盐土</w:t>
                                  </w:r>
                                </w:p>
                                <w:p w14:paraId="68447A95">
                                  <w:pPr>
                                    <w:pStyle w:val="23"/>
                                    <w:spacing w:line="240" w:lineRule="auto"/>
                                    <w:jc w:val="both"/>
                                    <w:rPr>
                                      <w:rFonts w:hint="eastAsia"/>
                                      <w:lang w:val="en-US" w:eastAsia="zh-CN"/>
                                    </w:rPr>
                                  </w:pPr>
                                  <w:r>
                                    <w:rPr>
                                      <w:rFonts w:hint="eastAsia"/>
                                      <w:lang w:val="en-US" w:eastAsia="zh-CN"/>
                                    </w:rPr>
                                    <w:t xml:space="preserve">   盐化草甸土</w:t>
                                  </w:r>
                                </w:p>
                                <w:p w14:paraId="4875BFF6">
                                  <w:pPr>
                                    <w:pStyle w:val="23"/>
                                    <w:spacing w:line="240" w:lineRule="auto"/>
                                    <w:jc w:val="both"/>
                                    <w:rPr>
                                      <w:rFonts w:hint="default"/>
                                      <w:lang w:val="en-US" w:eastAsia="zh-CN"/>
                                    </w:rPr>
                                  </w:pPr>
                                  <w:r>
                                    <w:rPr>
                                      <w:rFonts w:hint="eastAsia"/>
                                      <w:lang w:val="en-US" w:eastAsia="zh-CN"/>
                                    </w:rPr>
                                    <w:t xml:space="preserve">   盐化灰漠土</w:t>
                                  </w:r>
                                </w:p>
                                <w:p w14:paraId="6BF1C7E5">
                                  <w:pPr>
                                    <w:pStyle w:val="23"/>
                                    <w:spacing w:line="240" w:lineRule="auto"/>
                                    <w:jc w:val="both"/>
                                    <w:rPr>
                                      <w:rFonts w:hint="default"/>
                                      <w:lang w:val="en-US" w:eastAsia="zh-CN"/>
                                    </w:rPr>
                                  </w:pPr>
                                </w:p>
                              </w:txbxContent>
                            </wps:txbx>
                            <wps:bodyPr upright="1"/>
                          </wps:wsp>
                        </a:graphicData>
                      </a:graphic>
                    </wp:anchor>
                  </w:drawing>
                </mc:Choice>
                <mc:Fallback>
                  <w:pict>
                    <v:shape id="_x0000_s1026" o:spid="_x0000_s1026" o:spt="202" type="#_x0000_t202" style="position:absolute;left:0pt;margin-left:6.75pt;margin-top:221.45pt;height:54pt;width:99pt;z-index:251662336;mso-width-relative:page;mso-height-relative:page;" fillcolor="#FFFFFF" filled="t" stroked="t" coordsize="21600,21600" o:gfxdata="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L54pNkAAAAKAQAADwAAAAAAAAABACAAAAAi&#10;AAAAZHJzL2Rvd25yZXYueG1sUEsBAhQAFAAAAAgAh07iQEjefg8JAgAAOAQAAA4AAAAAAAAAAQAg&#10;AAAAKAEAAGRycy9lMm9Eb2MueG1sUEsFBgAAAAAGAAYAWQEAAKMFAAAAAA==&#10;">
                      <v:fill on="t" focussize="0,0"/>
                      <v:stroke color="#000000" joinstyle="miter"/>
                      <v:imagedata o:title=""/>
                      <o:lock v:ext="edit" aspectratio="f"/>
                      <v:textbox>
                        <w:txbxContent>
                          <w:p w14:paraId="64871991">
                            <w:pPr>
                              <w:spacing w:line="240" w:lineRule="auto"/>
                              <w:rPr>
                                <w:rFonts w:hint="eastAsia"/>
                                <w:lang w:val="en-US" w:eastAsia="zh-CN"/>
                              </w:rPr>
                            </w:pPr>
                            <w:r>
                              <w:rPr>
                                <w:rFonts w:hint="eastAsia"/>
                                <w:lang w:val="en-US" w:eastAsia="zh-CN"/>
                              </w:rPr>
                              <w:t xml:space="preserve">   干旱盐土</w:t>
                            </w:r>
                          </w:p>
                          <w:p w14:paraId="68447A95">
                            <w:pPr>
                              <w:pStyle w:val="23"/>
                              <w:spacing w:line="240" w:lineRule="auto"/>
                              <w:jc w:val="both"/>
                              <w:rPr>
                                <w:rFonts w:hint="eastAsia"/>
                                <w:lang w:val="en-US" w:eastAsia="zh-CN"/>
                              </w:rPr>
                            </w:pPr>
                            <w:r>
                              <w:rPr>
                                <w:rFonts w:hint="eastAsia"/>
                                <w:lang w:val="en-US" w:eastAsia="zh-CN"/>
                              </w:rPr>
                              <w:t xml:space="preserve">   盐化草甸土</w:t>
                            </w:r>
                          </w:p>
                          <w:p w14:paraId="4875BFF6">
                            <w:pPr>
                              <w:pStyle w:val="23"/>
                              <w:spacing w:line="240" w:lineRule="auto"/>
                              <w:jc w:val="both"/>
                              <w:rPr>
                                <w:rFonts w:hint="default"/>
                                <w:lang w:val="en-US" w:eastAsia="zh-CN"/>
                              </w:rPr>
                            </w:pPr>
                            <w:r>
                              <w:rPr>
                                <w:rFonts w:hint="eastAsia"/>
                                <w:lang w:val="en-US" w:eastAsia="zh-CN"/>
                              </w:rPr>
                              <w:t xml:space="preserve">   盐化灰漠土</w:t>
                            </w:r>
                          </w:p>
                          <w:p w14:paraId="6BF1C7E5">
                            <w:pPr>
                              <w:pStyle w:val="23"/>
                              <w:spacing w:line="240" w:lineRule="auto"/>
                              <w:jc w:val="both"/>
                              <w:rPr>
                                <w:rFonts w:hint="default"/>
                                <w:lang w:val="en-US" w:eastAsia="zh-CN"/>
                              </w:rPr>
                            </w:pPr>
                          </w:p>
                        </w:txbxContent>
                      </v:textbox>
                    </v:shape>
                  </w:pict>
                </mc:Fallback>
              </mc:AlternateContent>
            </w:r>
            <w:r>
              <w:drawing>
                <wp:inline distT="0" distB="0" distL="114300" distR="114300">
                  <wp:extent cx="4950460" cy="3709035"/>
                  <wp:effectExtent l="12700" t="12700" r="27940" b="3111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6"/>
                          <a:stretch>
                            <a:fillRect/>
                          </a:stretch>
                        </pic:blipFill>
                        <pic:spPr>
                          <a:xfrm>
                            <a:off x="0" y="0"/>
                            <a:ext cx="4950460" cy="3709035"/>
                          </a:xfrm>
                          <a:prstGeom prst="rect">
                            <a:avLst/>
                          </a:prstGeom>
                          <a:noFill/>
                          <a:ln w="12700" cap="flat" cmpd="sng">
                            <a:solidFill>
                              <a:srgbClr val="000000"/>
                            </a:solidFill>
                            <a:prstDash val="solid"/>
                            <a:miter/>
                            <a:headEnd type="none" w="med" len="med"/>
                            <a:tailEnd type="none" w="med" len="med"/>
                          </a:ln>
                        </pic:spPr>
                      </pic:pic>
                    </a:graphicData>
                  </a:graphic>
                </wp:inline>
              </w:drawing>
            </w:r>
          </w:p>
          <w:p w14:paraId="24993287">
            <w:pPr>
              <w:pStyle w:val="30"/>
              <w:keepNext w:val="0"/>
              <w:keepLines w:val="0"/>
              <w:pageBreakBefore w:val="0"/>
              <w:widowControl w:val="0"/>
              <w:kinsoku/>
              <w:wordWrap/>
              <w:overflowPunct/>
              <w:topLinePunct w:val="0"/>
              <w:autoSpaceDE/>
              <w:autoSpaceDN/>
              <w:bidi w:val="0"/>
              <w:adjustRightInd/>
              <w:snapToGrid w:val="0"/>
              <w:spacing w:line="360" w:lineRule="auto"/>
              <w:ind w:firstLine="2530" w:firstLineChars="1200"/>
              <w:jc w:val="both"/>
              <w:textAlignment w:val="auto"/>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图</w:t>
            </w:r>
            <w:r>
              <w:rPr>
                <w:rFonts w:hint="eastAsia" w:eastAsia="宋体" w:cs="Times New Roman"/>
                <w:b/>
                <w:bCs w:val="0"/>
                <w:color w:val="auto"/>
                <w:kern w:val="2"/>
                <w:sz w:val="21"/>
                <w:szCs w:val="21"/>
                <w:highlight w:val="none"/>
                <w:lang w:val="en-US" w:eastAsia="zh-CN" w:bidi="ar-SA"/>
              </w:rPr>
              <w:t>3-3</w:t>
            </w:r>
            <w:r>
              <w:rPr>
                <w:rFonts w:hint="default" w:ascii="Times New Roman" w:hAnsi="Times New Roman" w:eastAsia="宋体" w:cs="Times New Roman"/>
                <w:b/>
                <w:bCs w:val="0"/>
                <w:color w:val="auto"/>
                <w:kern w:val="2"/>
                <w:sz w:val="21"/>
                <w:szCs w:val="21"/>
                <w:highlight w:val="none"/>
                <w:lang w:val="en-US" w:eastAsia="zh-CN" w:bidi="ar-SA"/>
              </w:rPr>
              <w:t xml:space="preserve">  土壤类型图</w:t>
            </w:r>
          </w:p>
          <w:p w14:paraId="1A242BFE">
            <w:pPr>
              <w:pStyle w:val="30"/>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default" w:ascii="Times New Roman" w:hAnsi="Times New Roman" w:eastAsia="宋体" w:cs="Times New Roman"/>
                <w:b/>
                <w:bCs w:val="0"/>
                <w:color w:val="auto"/>
                <w:kern w:val="2"/>
                <w:sz w:val="21"/>
                <w:szCs w:val="21"/>
                <w:highlight w:val="none"/>
                <w:lang w:val="en-US" w:eastAsia="zh-CN" w:bidi="ar-SA"/>
              </w:rPr>
            </w:pPr>
            <w:r>
              <w:drawing>
                <wp:anchor distT="0" distB="0" distL="114300" distR="114300" simplePos="0" relativeHeight="251668480" behindDoc="0" locked="0" layoutInCell="1" allowOverlap="1">
                  <wp:simplePos x="0" y="0"/>
                  <wp:positionH relativeFrom="column">
                    <wp:posOffset>4064000</wp:posOffset>
                  </wp:positionH>
                  <wp:positionV relativeFrom="paragraph">
                    <wp:posOffset>35560</wp:posOffset>
                  </wp:positionV>
                  <wp:extent cx="870585" cy="672465"/>
                  <wp:effectExtent l="9525" t="9525" r="15240" b="22860"/>
                  <wp:wrapNone/>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15"/>
                          <a:stretch>
                            <a:fillRect/>
                          </a:stretch>
                        </pic:blipFill>
                        <pic:spPr>
                          <a:xfrm>
                            <a:off x="0" y="0"/>
                            <a:ext cx="870585" cy="672465"/>
                          </a:xfrm>
                          <a:prstGeom prst="rect">
                            <a:avLst/>
                          </a:prstGeom>
                          <a:noFill/>
                          <a:ln w="9525" cap="flat" cmpd="sng">
                            <a:solidFill>
                              <a:srgbClr val="000000"/>
                            </a:solidFill>
                            <a:prstDash val="solid"/>
                            <a:miter/>
                            <a:headEnd type="none" w="med" len="med"/>
                            <a:tailEnd type="none" w="med" len="med"/>
                          </a:ln>
                        </pic:spPr>
                      </pic:pic>
                    </a:graphicData>
                  </a:graphic>
                </wp:anchor>
              </w:drawing>
            </w:r>
            <w:r>
              <w:drawing>
                <wp:anchor distT="0" distB="0" distL="114300" distR="114300" simplePos="0" relativeHeight="251666432" behindDoc="0" locked="0" layoutInCell="1" allowOverlap="1">
                  <wp:simplePos x="0" y="0"/>
                  <wp:positionH relativeFrom="column">
                    <wp:posOffset>2362200</wp:posOffset>
                  </wp:positionH>
                  <wp:positionV relativeFrom="paragraph">
                    <wp:posOffset>3053080</wp:posOffset>
                  </wp:positionV>
                  <wp:extent cx="1143000" cy="419100"/>
                  <wp:effectExtent l="0" t="0" r="0" b="0"/>
                  <wp:wrapNone/>
                  <wp:docPr id="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
                          <pic:cNvPicPr>
                            <a:picLocks noChangeAspect="1"/>
                          </pic:cNvPicPr>
                        </pic:nvPicPr>
                        <pic:blipFill>
                          <a:blip r:embed="rId17"/>
                          <a:stretch>
                            <a:fillRect/>
                          </a:stretch>
                        </pic:blipFill>
                        <pic:spPr>
                          <a:xfrm>
                            <a:off x="0" y="0"/>
                            <a:ext cx="1143000" cy="419100"/>
                          </a:xfrm>
                          <a:prstGeom prst="rect">
                            <a:avLst/>
                          </a:prstGeom>
                          <a:noFill/>
                          <a:ln>
                            <a:noFill/>
                          </a:ln>
                        </pic:spPr>
                      </pic:pic>
                    </a:graphicData>
                  </a:graphic>
                </wp:anchor>
              </w:drawing>
            </w:r>
            <w:r>
              <w:drawing>
                <wp:inline distT="0" distB="0" distL="114300" distR="114300">
                  <wp:extent cx="4947285" cy="3505200"/>
                  <wp:effectExtent l="12700" t="12700" r="31115" b="2540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18"/>
                          <a:stretch>
                            <a:fillRect/>
                          </a:stretch>
                        </pic:blipFill>
                        <pic:spPr>
                          <a:xfrm>
                            <a:off x="0" y="0"/>
                            <a:ext cx="4947285" cy="3505200"/>
                          </a:xfrm>
                          <a:prstGeom prst="rect">
                            <a:avLst/>
                          </a:prstGeom>
                          <a:noFill/>
                          <a:ln w="12700" cap="flat" cmpd="sng">
                            <a:solidFill>
                              <a:srgbClr val="000000"/>
                            </a:solidFill>
                            <a:prstDash val="solid"/>
                            <a:miter/>
                            <a:headEnd type="none" w="med" len="med"/>
                            <a:tailEnd type="none" w="med" len="med"/>
                          </a:ln>
                        </pic:spPr>
                      </pic:pic>
                    </a:graphicData>
                  </a:graphic>
                </wp:inline>
              </w:drawing>
            </w:r>
          </w:p>
          <w:p w14:paraId="5056F5AE">
            <w:pPr>
              <w:pStyle w:val="30"/>
              <w:keepNext w:val="0"/>
              <w:keepLines w:val="0"/>
              <w:pageBreakBefore w:val="0"/>
              <w:widowControl w:val="0"/>
              <w:kinsoku/>
              <w:wordWrap/>
              <w:overflowPunct/>
              <w:topLinePunct w:val="0"/>
              <w:autoSpaceDE/>
              <w:autoSpaceDN/>
              <w:bidi w:val="0"/>
              <w:adjustRightInd/>
              <w:snapToGrid w:val="0"/>
              <w:spacing w:line="360" w:lineRule="auto"/>
              <w:ind w:left="0" w:leftChars="0" w:firstLine="456" w:firstLineChars="200"/>
              <w:jc w:val="both"/>
              <w:textAlignment w:val="auto"/>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color w:val="auto"/>
                <w:spacing w:val="-6"/>
                <w:sz w:val="24"/>
                <w:szCs w:val="24"/>
                <w:highlight w:val="none"/>
                <w:lang w:val="en-US" w:eastAsia="zh-CN"/>
              </w:rPr>
              <w:t xml:space="preserve">  </w:t>
            </w:r>
            <w:r>
              <w:rPr>
                <w:rFonts w:hint="default" w:ascii="Times New Roman" w:hAnsi="Times New Roman" w:eastAsia="宋体" w:cs="Times New Roman"/>
                <w:b/>
                <w:bCs w:val="0"/>
                <w:color w:val="auto"/>
                <w:kern w:val="2"/>
                <w:sz w:val="21"/>
                <w:szCs w:val="21"/>
                <w:highlight w:val="none"/>
                <w:lang w:val="en-US" w:eastAsia="zh-CN" w:bidi="ar-SA"/>
              </w:rPr>
              <w:t xml:space="preserve">                  图</w:t>
            </w:r>
            <w:r>
              <w:rPr>
                <w:rFonts w:hint="eastAsia" w:eastAsia="宋体" w:cs="Times New Roman"/>
                <w:b/>
                <w:bCs w:val="0"/>
                <w:color w:val="auto"/>
                <w:kern w:val="2"/>
                <w:sz w:val="21"/>
                <w:szCs w:val="21"/>
                <w:highlight w:val="none"/>
                <w:lang w:val="en-US" w:eastAsia="zh-CN" w:bidi="ar-SA"/>
              </w:rPr>
              <w:t>3-4</w:t>
            </w:r>
            <w:r>
              <w:rPr>
                <w:rFonts w:hint="default" w:ascii="Times New Roman" w:hAnsi="Times New Roman" w:eastAsia="宋体" w:cs="Times New Roman"/>
                <w:b/>
                <w:bCs w:val="0"/>
                <w:color w:val="auto"/>
                <w:kern w:val="2"/>
                <w:sz w:val="21"/>
                <w:szCs w:val="21"/>
                <w:highlight w:val="none"/>
                <w:lang w:val="en-US" w:eastAsia="zh-CN" w:bidi="ar-SA"/>
              </w:rPr>
              <w:t xml:space="preserve"> 土地利用现状图 </w:t>
            </w:r>
          </w:p>
          <w:p w14:paraId="0E54C43E">
            <w:pPr>
              <w:pStyle w:val="30"/>
              <w:keepNext w:val="0"/>
              <w:keepLines w:val="0"/>
              <w:pageBreakBefore w:val="0"/>
              <w:widowControl w:val="0"/>
              <w:kinsoku/>
              <w:wordWrap/>
              <w:overflowPunct/>
              <w:topLinePunct w:val="0"/>
              <w:autoSpaceDE/>
              <w:autoSpaceDN/>
              <w:bidi w:val="0"/>
              <w:adjustRightInd/>
              <w:snapToGrid w:val="0"/>
              <w:spacing w:line="360" w:lineRule="auto"/>
              <w:ind w:left="0" w:leftChars="0" w:firstLine="422" w:firstLineChars="200"/>
              <w:jc w:val="both"/>
              <w:textAlignment w:val="auto"/>
              <w:rPr>
                <w:rFonts w:hint="default" w:ascii="Times New Roman" w:hAnsi="Times New Roman" w:eastAsia="宋体" w:cs="Times New Roman"/>
                <w:b/>
                <w:bCs w:val="0"/>
                <w:color w:val="auto"/>
                <w:kern w:val="2"/>
                <w:sz w:val="21"/>
                <w:szCs w:val="21"/>
                <w:highlight w:val="none"/>
                <w:lang w:val="en-US" w:eastAsia="zh-CN" w:bidi="ar-SA"/>
              </w:rPr>
            </w:pPr>
          </w:p>
          <w:p w14:paraId="7860CCCE">
            <w:pPr>
              <w:pStyle w:val="30"/>
              <w:keepNext w:val="0"/>
              <w:keepLines w:val="0"/>
              <w:pageBreakBefore w:val="0"/>
              <w:widowControl w:val="0"/>
              <w:kinsoku/>
              <w:wordWrap/>
              <w:overflowPunct/>
              <w:topLinePunct w:val="0"/>
              <w:autoSpaceDE/>
              <w:autoSpaceDN/>
              <w:bidi w:val="0"/>
              <w:adjustRightInd/>
              <w:snapToGrid w:val="0"/>
              <w:spacing w:line="360" w:lineRule="auto"/>
              <w:ind w:left="0" w:leftChars="0" w:firstLine="422" w:firstLineChars="200"/>
              <w:jc w:val="both"/>
              <w:textAlignment w:val="auto"/>
              <w:rPr>
                <w:rFonts w:hint="default" w:ascii="Times New Roman" w:hAnsi="Times New Roman" w:eastAsia="宋体" w:cs="Times New Roman"/>
                <w:b/>
                <w:bCs w:val="0"/>
                <w:color w:val="auto"/>
                <w:kern w:val="2"/>
                <w:sz w:val="21"/>
                <w:szCs w:val="21"/>
                <w:highlight w:val="none"/>
                <w:lang w:val="en-US" w:eastAsia="zh-CN" w:bidi="ar-SA"/>
              </w:rPr>
            </w:pPr>
          </w:p>
          <w:p w14:paraId="3015A116">
            <w:pPr>
              <w:pStyle w:val="30"/>
              <w:keepNext w:val="0"/>
              <w:keepLines w:val="0"/>
              <w:pageBreakBefore w:val="0"/>
              <w:widowControl w:val="0"/>
              <w:kinsoku/>
              <w:wordWrap/>
              <w:overflowPunct/>
              <w:topLinePunct w:val="0"/>
              <w:autoSpaceDE/>
              <w:autoSpaceDN/>
              <w:bidi w:val="0"/>
              <w:adjustRightInd/>
              <w:snapToGrid w:val="0"/>
              <w:spacing w:line="360" w:lineRule="auto"/>
              <w:ind w:left="0" w:leftChars="0" w:firstLine="422" w:firstLineChars="200"/>
              <w:jc w:val="both"/>
              <w:textAlignment w:val="auto"/>
              <w:rPr>
                <w:rFonts w:hint="default" w:ascii="Times New Roman" w:hAnsi="Times New Roman" w:eastAsia="宋体" w:cs="Times New Roman"/>
                <w:b/>
                <w:bCs w:val="0"/>
                <w:color w:val="auto"/>
                <w:kern w:val="2"/>
                <w:sz w:val="21"/>
                <w:szCs w:val="21"/>
                <w:highlight w:val="none"/>
                <w:lang w:val="en-US" w:eastAsia="zh-CN" w:bidi="ar-SA"/>
              </w:rPr>
            </w:pPr>
          </w:p>
          <w:p w14:paraId="58D662FB">
            <w:pPr>
              <w:pStyle w:val="30"/>
              <w:keepNext w:val="0"/>
              <w:keepLines w:val="0"/>
              <w:pageBreakBefore w:val="0"/>
              <w:widowControl w:val="0"/>
              <w:kinsoku/>
              <w:wordWrap/>
              <w:overflowPunct/>
              <w:topLinePunct w:val="0"/>
              <w:autoSpaceDE/>
              <w:autoSpaceDN/>
              <w:bidi w:val="0"/>
              <w:adjustRightInd/>
              <w:snapToGrid w:val="0"/>
              <w:spacing w:line="360" w:lineRule="auto"/>
              <w:ind w:left="0" w:leftChars="0" w:firstLine="422" w:firstLineChars="200"/>
              <w:jc w:val="both"/>
              <w:textAlignment w:val="auto"/>
              <w:rPr>
                <w:rFonts w:hint="default" w:ascii="Times New Roman" w:hAnsi="Times New Roman" w:eastAsia="宋体" w:cs="Times New Roman"/>
                <w:b/>
                <w:bCs w:val="0"/>
                <w:color w:val="auto"/>
                <w:kern w:val="2"/>
                <w:sz w:val="21"/>
                <w:szCs w:val="21"/>
                <w:highlight w:val="none"/>
                <w:lang w:val="en-US" w:eastAsia="zh-CN" w:bidi="ar-SA"/>
              </w:rPr>
            </w:pPr>
          </w:p>
          <w:p w14:paraId="23A39D25">
            <w:pPr>
              <w:pStyle w:val="30"/>
              <w:keepNext w:val="0"/>
              <w:keepLines w:val="0"/>
              <w:pageBreakBefore w:val="0"/>
              <w:widowControl w:val="0"/>
              <w:kinsoku/>
              <w:wordWrap/>
              <w:overflowPunct/>
              <w:topLinePunct w:val="0"/>
              <w:autoSpaceDE/>
              <w:autoSpaceDN/>
              <w:bidi w:val="0"/>
              <w:adjustRightInd/>
              <w:snapToGrid w:val="0"/>
              <w:spacing w:line="360" w:lineRule="auto"/>
              <w:ind w:left="0" w:leftChars="0" w:firstLine="420" w:firstLineChars="200"/>
              <w:jc w:val="both"/>
              <w:textAlignment w:val="auto"/>
              <w:rPr>
                <w:rFonts w:hint="default" w:ascii="Times New Roman" w:hAnsi="Times New Roman" w:eastAsia="宋体" w:cs="Times New Roman"/>
                <w:b w:val="0"/>
                <w:bCs/>
                <w:color w:val="auto"/>
                <w:kern w:val="2"/>
                <w:sz w:val="21"/>
                <w:szCs w:val="21"/>
                <w:highlight w:val="none"/>
                <w:lang w:val="en-US" w:eastAsia="zh-CN" w:bidi="ar-SA"/>
              </w:rPr>
            </w:pPr>
            <w:r>
              <w:drawing>
                <wp:anchor distT="0" distB="0" distL="114300" distR="114300" simplePos="0" relativeHeight="251667456" behindDoc="0" locked="0" layoutInCell="1" allowOverlap="1">
                  <wp:simplePos x="0" y="0"/>
                  <wp:positionH relativeFrom="column">
                    <wp:posOffset>4091305</wp:posOffset>
                  </wp:positionH>
                  <wp:positionV relativeFrom="paragraph">
                    <wp:posOffset>257810</wp:posOffset>
                  </wp:positionV>
                  <wp:extent cx="870585" cy="672465"/>
                  <wp:effectExtent l="9525" t="9525" r="15240" b="22860"/>
                  <wp:wrapNone/>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15"/>
                          <a:stretch>
                            <a:fillRect/>
                          </a:stretch>
                        </pic:blipFill>
                        <pic:spPr>
                          <a:xfrm>
                            <a:off x="0" y="0"/>
                            <a:ext cx="870585" cy="672465"/>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b w:val="0"/>
                <w:bCs/>
                <w:color w:val="auto"/>
                <w:kern w:val="2"/>
                <w:sz w:val="21"/>
                <w:szCs w:val="21"/>
                <w:highlight w:val="none"/>
                <w:lang w:val="en-US" w:eastAsia="zh-CN" w:bidi="ar-SA"/>
              </w:rPr>
              <w:t xml:space="preserve">     </w:t>
            </w:r>
            <w:r>
              <w:drawing>
                <wp:inline distT="0" distB="0" distL="114300" distR="114300">
                  <wp:extent cx="4951095" cy="4016375"/>
                  <wp:effectExtent l="12700" t="12700" r="27305" b="28575"/>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1"/>
                          </pic:cNvPicPr>
                        </pic:nvPicPr>
                        <pic:blipFill>
                          <a:blip r:embed="rId19"/>
                          <a:stretch>
                            <a:fillRect/>
                          </a:stretch>
                        </pic:blipFill>
                        <pic:spPr>
                          <a:xfrm>
                            <a:off x="0" y="0"/>
                            <a:ext cx="4951095" cy="4016375"/>
                          </a:xfrm>
                          <a:prstGeom prst="rect">
                            <a:avLst/>
                          </a:prstGeom>
                          <a:noFill/>
                          <a:ln w="12700" cap="flat" cmpd="sng">
                            <a:solidFill>
                              <a:srgbClr val="000000"/>
                            </a:solidFill>
                            <a:prstDash val="solid"/>
                            <a:miter/>
                            <a:headEnd type="none" w="med" len="med"/>
                            <a:tailEnd type="none" w="med" len="med"/>
                          </a:ln>
                        </pic:spPr>
                      </pic:pic>
                    </a:graphicData>
                  </a:graphic>
                </wp:inline>
              </w:drawing>
            </w:r>
          </w:p>
          <w:p w14:paraId="27F2CC9A">
            <w:pPr>
              <w:pStyle w:val="30"/>
              <w:keepNext w:val="0"/>
              <w:keepLines w:val="0"/>
              <w:pageBreakBefore w:val="0"/>
              <w:widowControl w:val="0"/>
              <w:kinsoku/>
              <w:wordWrap/>
              <w:overflowPunct/>
              <w:topLinePunct w:val="0"/>
              <w:autoSpaceDE/>
              <w:autoSpaceDN/>
              <w:bidi w:val="0"/>
              <w:adjustRightInd/>
              <w:snapToGrid w:val="0"/>
              <w:spacing w:line="360" w:lineRule="auto"/>
              <w:ind w:left="0" w:leftChars="0" w:firstLine="3162" w:firstLineChars="1500"/>
              <w:jc w:val="both"/>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kern w:val="2"/>
                <w:sz w:val="21"/>
                <w:szCs w:val="21"/>
                <w:highlight w:val="none"/>
                <w:lang w:val="en-US" w:eastAsia="zh-CN" w:bidi="ar-SA"/>
              </w:rPr>
              <w:t>图</w:t>
            </w:r>
            <w:r>
              <w:rPr>
                <w:rFonts w:hint="eastAsia" w:eastAsia="宋体" w:cs="Times New Roman"/>
                <w:b/>
                <w:bCs w:val="0"/>
                <w:color w:val="auto"/>
                <w:kern w:val="2"/>
                <w:sz w:val="21"/>
                <w:szCs w:val="21"/>
                <w:highlight w:val="none"/>
                <w:lang w:val="en-US" w:eastAsia="zh-CN" w:bidi="ar-SA"/>
              </w:rPr>
              <w:t xml:space="preserve">3-5 </w:t>
            </w:r>
            <w:r>
              <w:rPr>
                <w:rFonts w:hint="default" w:ascii="Times New Roman" w:hAnsi="Times New Roman" w:eastAsia="宋体" w:cs="Times New Roman"/>
                <w:b/>
                <w:bCs w:val="0"/>
                <w:color w:val="auto"/>
                <w:kern w:val="2"/>
                <w:sz w:val="21"/>
                <w:szCs w:val="21"/>
                <w:highlight w:val="none"/>
                <w:lang w:val="en-US" w:eastAsia="zh-CN" w:bidi="ar-SA"/>
              </w:rPr>
              <w:t xml:space="preserve"> 植被类型图</w:t>
            </w:r>
          </w:p>
          <w:p w14:paraId="38BBFE5F">
            <w:pPr>
              <w:pStyle w:val="30"/>
              <w:keepNext w:val="0"/>
              <w:keepLines w:val="0"/>
              <w:pageBreakBefore w:val="0"/>
              <w:widowControl w:val="0"/>
              <w:wordWrap/>
              <w:topLinePunct w:val="0"/>
              <w:bidi w:val="0"/>
              <w:snapToGrid w:val="0"/>
              <w:spacing w:line="360" w:lineRule="auto"/>
              <w:ind w:left="479" w:leftChars="228" w:firstLine="0" w:firstLineChars="0"/>
              <w:jc w:val="both"/>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fldChar w:fldCharType="begin"/>
            </w:r>
            <w:r>
              <w:rPr>
                <w:rFonts w:hint="default" w:ascii="Times New Roman" w:hAnsi="Times New Roman" w:eastAsia="宋体" w:cs="Times New Roman"/>
                <w:color w:val="auto"/>
                <w:sz w:val="24"/>
                <w:highlight w:val="none"/>
                <w:lang w:val="en-US" w:eastAsia="zh-CN"/>
              </w:rPr>
              <w:instrText xml:space="preserve"> = 4 \* GB3 \* MERGEFORMAT </w:instrText>
            </w:r>
            <w:r>
              <w:rPr>
                <w:rFonts w:hint="default" w:ascii="Times New Roman" w:hAnsi="Times New Roman" w:eastAsia="宋体" w:cs="Times New Roman"/>
                <w:color w:val="auto"/>
                <w:sz w:val="24"/>
                <w:highlight w:val="none"/>
                <w:lang w:val="en-US" w:eastAsia="zh-CN"/>
              </w:rPr>
              <w:fldChar w:fldCharType="separate"/>
            </w:r>
            <w:r>
              <w:rPr>
                <w:rFonts w:hint="default" w:ascii="Times New Roman" w:hAnsi="Times New Roman" w:eastAsia="宋体" w:cs="Times New Roman"/>
                <w:color w:val="auto"/>
                <w:sz w:val="24"/>
                <w:highlight w:val="none"/>
                <w:lang w:val="en-US" w:eastAsia="zh-CN"/>
              </w:rPr>
              <w:t>④</w:t>
            </w:r>
            <w:r>
              <w:rPr>
                <w:rFonts w:hint="default" w:ascii="Times New Roman" w:hAnsi="Times New Roman" w:eastAsia="宋体" w:cs="Times New Roman"/>
                <w:color w:val="auto"/>
                <w:sz w:val="24"/>
                <w:highlight w:val="none"/>
                <w:lang w:val="en-US" w:eastAsia="zh-CN"/>
              </w:rPr>
              <w:fldChar w:fldCharType="end"/>
            </w:r>
            <w:r>
              <w:rPr>
                <w:rFonts w:hint="default" w:ascii="Times New Roman" w:hAnsi="Times New Roman" w:eastAsia="宋体" w:cs="Times New Roman"/>
                <w:color w:val="auto"/>
                <w:sz w:val="24"/>
                <w:highlight w:val="none"/>
                <w:lang w:val="en-US" w:eastAsia="zh-CN"/>
              </w:rPr>
              <w:t>动物：</w:t>
            </w:r>
            <w:r>
              <w:rPr>
                <w:rFonts w:hint="eastAsia" w:ascii="Times New Roman" w:hAnsi="Times New Roman" w:eastAsia="宋体" w:cs="Times New Roman"/>
                <w:color w:val="auto"/>
                <w:sz w:val="24"/>
                <w:highlight w:val="none"/>
                <w:lang w:val="en-US" w:eastAsia="zh-CN"/>
              </w:rPr>
              <w:t>根据中国动物地理区划的分级标准，化工园区所在区域的野生</w:t>
            </w:r>
          </w:p>
          <w:p w14:paraId="21BA4C47">
            <w:pPr>
              <w:pStyle w:val="30"/>
              <w:keepNext w:val="0"/>
              <w:keepLines w:val="0"/>
              <w:pageBreakBefore w:val="0"/>
              <w:widowControl w:val="0"/>
              <w:wordWrap/>
              <w:topLinePunct w:val="0"/>
              <w:bidi w:val="0"/>
              <w:snapToGrid w:val="0"/>
              <w:spacing w:line="360" w:lineRule="auto"/>
              <w:jc w:val="both"/>
              <w:rPr>
                <w:rFonts w:hint="default"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val="en-US" w:eastAsia="zh-CN"/>
              </w:rPr>
              <w:t xml:space="preserve">动物属古北界、中亚界、蒙新区、西北荒漠亚区、准噶尔盆地小区。项目所在区域属于干旱的大陆性气候控制下的荒漠自然环境，致使区域所属动物区系组成简单，野生动物组成较单一，区域内野生动物以荒漠区爬行类、啮齿类动物分布为主。 </w:t>
            </w:r>
          </w:p>
          <w:p w14:paraId="6F0C25A6">
            <w:pPr>
              <w:pStyle w:val="30"/>
              <w:keepNext w:val="0"/>
              <w:keepLines w:val="0"/>
              <w:pageBreakBefore w:val="0"/>
              <w:widowControl w:val="0"/>
              <w:wordWrap/>
              <w:topLinePunct w:val="0"/>
              <w:bidi w:val="0"/>
              <w:snapToGrid w:val="0"/>
              <w:spacing w:line="360" w:lineRule="auto"/>
              <w:ind w:left="479" w:leftChars="228" w:firstLine="0" w:firstLineChars="0"/>
              <w:jc w:val="both"/>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由于近年园区工业活动等人为扰动，在此区域内仅有少量鼠类和麻蜥等</w:t>
            </w:r>
          </w:p>
          <w:p w14:paraId="2101F27C">
            <w:pPr>
              <w:pStyle w:val="30"/>
              <w:keepNext w:val="0"/>
              <w:keepLines w:val="0"/>
              <w:pageBreakBefore w:val="0"/>
              <w:widowControl w:val="0"/>
              <w:wordWrap/>
              <w:topLinePunct w:val="0"/>
              <w:bidi w:val="0"/>
              <w:snapToGrid w:val="0"/>
              <w:spacing w:line="360" w:lineRule="auto"/>
              <w:jc w:val="both"/>
              <w:rPr>
                <w:rFonts w:hint="default"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val="en-US" w:eastAsia="zh-CN"/>
              </w:rPr>
              <w:t>野生动物存在，项目区及周围无国家及自治区级保护野生动物。</w:t>
            </w:r>
          </w:p>
          <w:p w14:paraId="25EEC321">
            <w:pPr>
              <w:keepNext w:val="0"/>
              <w:keepLines w:val="0"/>
              <w:pageBreakBefore w:val="0"/>
              <w:widowControl w:val="0"/>
              <w:wordWrap/>
              <w:topLinePunct w:val="0"/>
              <w:bidi w:val="0"/>
              <w:spacing w:line="360" w:lineRule="auto"/>
              <w:rPr>
                <w:rFonts w:hint="default" w:ascii="Times New Roman" w:hAnsi="Times New Roman" w:eastAsia="宋体" w:cs="Times New Roman"/>
                <w:b/>
                <w:color w:val="auto"/>
                <w:sz w:val="24"/>
                <w:highlight w:val="none"/>
                <w:lang w:val="en-US" w:eastAsia="zh-CN"/>
              </w:rPr>
            </w:pPr>
            <w:bookmarkStart w:id="15" w:name="_Toc423102269"/>
            <w:bookmarkStart w:id="16" w:name="_Toc198981733"/>
            <w:r>
              <w:rPr>
                <w:rFonts w:hint="default" w:ascii="Times New Roman" w:hAnsi="Times New Roman" w:eastAsia="宋体" w:cs="Times New Roman"/>
                <w:b/>
                <w:color w:val="auto"/>
                <w:sz w:val="24"/>
                <w:highlight w:val="none"/>
                <w:lang w:val="en-US" w:eastAsia="zh-CN"/>
              </w:rPr>
              <w:t>2.环境空气质量现状评价</w:t>
            </w:r>
            <w:bookmarkEnd w:id="15"/>
            <w:bookmarkEnd w:id="16"/>
          </w:p>
          <w:p w14:paraId="13244791">
            <w:pPr>
              <w:pStyle w:val="30"/>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both"/>
              <w:textAlignment w:val="auto"/>
              <w:rPr>
                <w:rFonts w:hint="eastAsia"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根据中华人民共和国生态环境部环境工程评估中心发布的“环境空气质量模型技术支持服务系统”相关数据，202</w:t>
            </w:r>
            <w:r>
              <w:rPr>
                <w:rFonts w:hint="eastAsia"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年</w:t>
            </w:r>
            <w:r>
              <w:rPr>
                <w:rFonts w:hint="eastAsia" w:eastAsia="宋体" w:cs="Times New Roman"/>
                <w:color w:val="auto"/>
                <w:sz w:val="24"/>
                <w:szCs w:val="24"/>
                <w:highlight w:val="none"/>
                <w:lang w:val="en-US" w:eastAsia="zh-CN"/>
              </w:rPr>
              <w:t>乌鲁木齐市</w:t>
            </w:r>
            <w:r>
              <w:rPr>
                <w:rFonts w:hint="default" w:ascii="Times New Roman" w:hAnsi="Times New Roman" w:eastAsia="宋体" w:cs="Times New Roman"/>
                <w:color w:val="auto"/>
                <w:sz w:val="24"/>
                <w:szCs w:val="24"/>
                <w:highlight w:val="none"/>
                <w:lang w:val="en-US" w:eastAsia="zh-CN"/>
              </w:rPr>
              <w:t>区域环境空气质量现状见表</w:t>
            </w:r>
            <w:r>
              <w:rPr>
                <w:rFonts w:hint="default" w:ascii="Times New Roman" w:hAnsi="Times New Roman" w:cs="Times New Roman"/>
                <w:color w:val="auto"/>
                <w:kern w:val="2"/>
                <w:sz w:val="24"/>
                <w:szCs w:val="24"/>
                <w:highlight w:val="none"/>
                <w:lang w:val="en-US" w:eastAsia="zh-CN" w:bidi="ar"/>
              </w:rPr>
              <w:t>3-3</w:t>
            </w:r>
            <w:r>
              <w:rPr>
                <w:rFonts w:hint="eastAsia" w:ascii="Times New Roman" w:hAnsi="Times New Roman" w:cs="Times New Roman"/>
                <w:color w:val="auto"/>
                <w:kern w:val="2"/>
                <w:sz w:val="24"/>
                <w:szCs w:val="24"/>
                <w:highlight w:val="none"/>
                <w:lang w:val="en-US" w:eastAsia="zh-CN" w:bidi="ar"/>
              </w:rPr>
              <w:t>。</w:t>
            </w:r>
          </w:p>
          <w:p w14:paraId="480C8BAB">
            <w:pPr>
              <w:keepNext w:val="0"/>
              <w:keepLines w:val="0"/>
              <w:pageBreakBefore w:val="0"/>
              <w:widowControl w:val="0"/>
              <w:suppressLineNumbers w:val="0"/>
              <w:wordWrap/>
              <w:topLinePunct w:val="0"/>
              <w:bidi w:val="0"/>
              <w:spacing w:before="0" w:beforeAutospacing="0" w:after="0" w:afterAutospacing="0" w:line="240" w:lineRule="auto"/>
              <w:ind w:left="0" w:right="0" w:firstLine="2108" w:firstLineChars="1000"/>
              <w:jc w:val="both"/>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表</w:t>
            </w:r>
            <w:r>
              <w:rPr>
                <w:rFonts w:hint="default" w:ascii="Times New Roman" w:hAnsi="Times New Roman" w:cs="Times New Roman"/>
                <w:b/>
                <w:bCs/>
                <w:color w:val="auto"/>
                <w:kern w:val="0"/>
                <w:sz w:val="21"/>
                <w:szCs w:val="21"/>
                <w:highlight w:val="none"/>
                <w:lang w:val="en-US" w:eastAsia="zh-CN" w:bidi="ar"/>
              </w:rPr>
              <w:t>3-3</w:t>
            </w:r>
            <w:r>
              <w:rPr>
                <w:rFonts w:hint="default" w:ascii="Times New Roman" w:hAnsi="Times New Roman" w:eastAsia="宋体" w:cs="Times New Roman"/>
                <w:b/>
                <w:bCs/>
                <w:color w:val="auto"/>
                <w:kern w:val="0"/>
                <w:sz w:val="21"/>
                <w:szCs w:val="21"/>
                <w:highlight w:val="none"/>
                <w:lang w:val="en-US" w:eastAsia="zh-CN" w:bidi="ar"/>
              </w:rPr>
              <w:t xml:space="preserve">  区域环境空气质量现状监测及评价结果  </w:t>
            </w:r>
          </w:p>
          <w:tbl>
            <w:tblPr>
              <w:tblStyle w:val="1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84"/>
              <w:gridCol w:w="1774"/>
              <w:gridCol w:w="1298"/>
              <w:gridCol w:w="1168"/>
              <w:gridCol w:w="1168"/>
              <w:gridCol w:w="908"/>
              <w:gridCol w:w="686"/>
            </w:tblGrid>
            <w:tr w14:paraId="1478C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03" w:type="pct"/>
                  <w:tcBorders>
                    <w:tl2br w:val="nil"/>
                    <w:tr2bl w:val="nil"/>
                  </w:tcBorders>
                  <w:noWrap w:val="0"/>
                  <w:vAlign w:val="center"/>
                </w:tcPr>
                <w:p w14:paraId="7CAF1F89">
                  <w:pPr>
                    <w:keepNext w:val="0"/>
                    <w:keepLines w:val="0"/>
                    <w:pageBreakBefore w:val="0"/>
                    <w:widowControl w:val="0"/>
                    <w:suppressLineNumbers w:val="0"/>
                    <w:kinsoku/>
                    <w:wordWrap/>
                    <w:overflowPunct/>
                    <w:topLinePunct w:val="0"/>
                    <w:autoSpaceDE/>
                    <w:autoSpaceDN/>
                    <w:bidi w:val="0"/>
                    <w:adjustRightInd/>
                    <w:snapToGrid/>
                    <w:spacing w:before="36" w:beforeAutospacing="0" w:after="0" w:afterAutospacing="0" w:line="240" w:lineRule="auto"/>
                    <w:ind w:left="0" w:right="0" w:firstLine="0"/>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评价</w:t>
                  </w:r>
                </w:p>
                <w:p w14:paraId="0EE58331">
                  <w:pPr>
                    <w:keepNext w:val="0"/>
                    <w:keepLines w:val="0"/>
                    <w:pageBreakBefore w:val="0"/>
                    <w:widowControl w:val="0"/>
                    <w:suppressLineNumbers w:val="0"/>
                    <w:kinsoku/>
                    <w:wordWrap/>
                    <w:overflowPunct/>
                    <w:topLinePunct w:val="0"/>
                    <w:autoSpaceDE/>
                    <w:autoSpaceDN/>
                    <w:bidi w:val="0"/>
                    <w:adjustRightInd/>
                    <w:snapToGrid/>
                    <w:spacing w:before="36" w:beforeAutospacing="0" w:after="0" w:afterAutospacing="0" w:line="240" w:lineRule="auto"/>
                    <w:ind w:left="0" w:right="0" w:firstLine="0"/>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因子</w:t>
                  </w:r>
                </w:p>
              </w:tc>
              <w:tc>
                <w:tcPr>
                  <w:tcW w:w="1139" w:type="pct"/>
                  <w:tcBorders>
                    <w:tl2br w:val="nil"/>
                    <w:tr2bl w:val="nil"/>
                  </w:tcBorders>
                  <w:noWrap w:val="0"/>
                  <w:vAlign w:val="center"/>
                </w:tcPr>
                <w:p w14:paraId="3E67EEE2">
                  <w:pPr>
                    <w:keepNext w:val="0"/>
                    <w:keepLines w:val="0"/>
                    <w:pageBreakBefore w:val="0"/>
                    <w:widowControl w:val="0"/>
                    <w:suppressLineNumbers w:val="0"/>
                    <w:kinsoku/>
                    <w:wordWrap/>
                    <w:overflowPunct/>
                    <w:topLinePunct w:val="0"/>
                    <w:autoSpaceDE/>
                    <w:autoSpaceDN/>
                    <w:bidi w:val="0"/>
                    <w:adjustRightInd/>
                    <w:snapToGrid/>
                    <w:spacing w:before="36" w:beforeAutospacing="0" w:after="0" w:afterAutospacing="0" w:line="240" w:lineRule="auto"/>
                    <w:ind w:left="0" w:right="0" w:firstLine="0"/>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平均时段</w:t>
                  </w:r>
                </w:p>
              </w:tc>
              <w:tc>
                <w:tcPr>
                  <w:tcW w:w="833" w:type="pct"/>
                  <w:tcBorders>
                    <w:tl2br w:val="nil"/>
                    <w:tr2bl w:val="nil"/>
                  </w:tcBorders>
                  <w:noWrap w:val="0"/>
                  <w:vAlign w:val="center"/>
                </w:tcPr>
                <w:p w14:paraId="533978D3">
                  <w:pPr>
                    <w:keepNext w:val="0"/>
                    <w:keepLines w:val="0"/>
                    <w:pageBreakBefore w:val="0"/>
                    <w:widowControl w:val="0"/>
                    <w:suppressLineNumbers w:val="0"/>
                    <w:kinsoku/>
                    <w:wordWrap/>
                    <w:overflowPunct/>
                    <w:topLinePunct w:val="0"/>
                    <w:autoSpaceDE/>
                    <w:autoSpaceDN/>
                    <w:bidi w:val="0"/>
                    <w:adjustRightInd/>
                    <w:snapToGrid/>
                    <w:spacing w:before="36" w:beforeAutospacing="0" w:after="0" w:afterAutospacing="0" w:line="240" w:lineRule="auto"/>
                    <w:ind w:left="0" w:right="0" w:firstLine="0"/>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百分位</w:t>
                  </w:r>
                </w:p>
              </w:tc>
              <w:tc>
                <w:tcPr>
                  <w:tcW w:w="750" w:type="pct"/>
                  <w:tcBorders>
                    <w:tl2br w:val="nil"/>
                    <w:tr2bl w:val="nil"/>
                  </w:tcBorders>
                  <w:noWrap w:val="0"/>
                  <w:vAlign w:val="center"/>
                </w:tcPr>
                <w:p w14:paraId="297F3A9A">
                  <w:pPr>
                    <w:keepNext w:val="0"/>
                    <w:keepLines w:val="0"/>
                    <w:pageBreakBefore w:val="0"/>
                    <w:widowControl w:val="0"/>
                    <w:suppressLineNumbers w:val="0"/>
                    <w:kinsoku/>
                    <w:wordWrap/>
                    <w:overflowPunct/>
                    <w:topLinePunct w:val="0"/>
                    <w:autoSpaceDE/>
                    <w:autoSpaceDN/>
                    <w:bidi w:val="0"/>
                    <w:adjustRightInd/>
                    <w:snapToGrid/>
                    <w:spacing w:before="36" w:beforeAutospacing="0" w:after="0" w:afterAutospacing="0" w:line="240" w:lineRule="auto"/>
                    <w:ind w:left="0" w:right="0" w:firstLine="0"/>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现状浓度</w:t>
                  </w:r>
                </w:p>
                <w:p w14:paraId="10EA219E">
                  <w:pPr>
                    <w:keepNext w:val="0"/>
                    <w:keepLines w:val="0"/>
                    <w:pageBreakBefore w:val="0"/>
                    <w:widowControl w:val="0"/>
                    <w:suppressLineNumbers w:val="0"/>
                    <w:kinsoku/>
                    <w:wordWrap/>
                    <w:overflowPunct/>
                    <w:topLinePunct w:val="0"/>
                    <w:autoSpaceDE/>
                    <w:autoSpaceDN/>
                    <w:bidi w:val="0"/>
                    <w:adjustRightInd/>
                    <w:snapToGrid/>
                    <w:spacing w:before="36" w:beforeAutospacing="0" w:after="0" w:afterAutospacing="0" w:line="240" w:lineRule="auto"/>
                    <w:ind w:left="420" w:right="0" w:hanging="420"/>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w:t>
                  </w:r>
                  <w:r>
                    <w:rPr>
                      <w:rFonts w:hint="default" w:ascii="Times New Roman" w:hAnsi="Times New Roman" w:cs="Times New Roman"/>
                      <w:color w:val="auto"/>
                      <w:kern w:val="0"/>
                      <w:sz w:val="21"/>
                      <w:szCs w:val="21"/>
                      <w:highlight w:val="none"/>
                      <w:lang w:val="en-US" w:eastAsia="zh-CN" w:bidi="ar"/>
                    </w:rPr>
                    <w:t>μg/m</w:t>
                  </w:r>
                  <w:r>
                    <w:rPr>
                      <w:rFonts w:hint="default" w:ascii="Times New Roman" w:hAnsi="Times New Roman"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w:t>
                  </w:r>
                </w:p>
              </w:tc>
              <w:tc>
                <w:tcPr>
                  <w:tcW w:w="750" w:type="pct"/>
                  <w:tcBorders>
                    <w:tl2br w:val="nil"/>
                    <w:tr2bl w:val="nil"/>
                  </w:tcBorders>
                  <w:noWrap w:val="0"/>
                  <w:vAlign w:val="center"/>
                </w:tcPr>
                <w:p w14:paraId="5E0E4DA8">
                  <w:pPr>
                    <w:keepNext w:val="0"/>
                    <w:keepLines w:val="0"/>
                    <w:pageBreakBefore w:val="0"/>
                    <w:widowControl w:val="0"/>
                    <w:suppressLineNumbers w:val="0"/>
                    <w:kinsoku/>
                    <w:wordWrap/>
                    <w:overflowPunct/>
                    <w:topLinePunct w:val="0"/>
                    <w:autoSpaceDE/>
                    <w:autoSpaceDN/>
                    <w:bidi w:val="0"/>
                    <w:adjustRightInd/>
                    <w:snapToGrid/>
                    <w:spacing w:before="36" w:beforeAutospacing="0" w:after="0" w:afterAutospacing="0" w:line="240" w:lineRule="auto"/>
                    <w:ind w:left="0" w:right="0" w:firstLine="0"/>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标准限值</w:t>
                  </w:r>
                </w:p>
                <w:p w14:paraId="51CF57CB">
                  <w:pPr>
                    <w:keepNext w:val="0"/>
                    <w:keepLines w:val="0"/>
                    <w:pageBreakBefore w:val="0"/>
                    <w:widowControl w:val="0"/>
                    <w:suppressLineNumbers w:val="0"/>
                    <w:kinsoku/>
                    <w:wordWrap/>
                    <w:overflowPunct/>
                    <w:topLinePunct w:val="0"/>
                    <w:autoSpaceDE/>
                    <w:autoSpaceDN/>
                    <w:bidi w:val="0"/>
                    <w:adjustRightInd/>
                    <w:snapToGrid/>
                    <w:spacing w:before="36" w:beforeAutospacing="0" w:after="0" w:afterAutospacing="0" w:line="240" w:lineRule="auto"/>
                    <w:ind w:left="420" w:right="0" w:hanging="420"/>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w:t>
                  </w:r>
                  <w:r>
                    <w:rPr>
                      <w:rFonts w:hint="default" w:ascii="Times New Roman" w:hAnsi="Times New Roman" w:cs="Times New Roman"/>
                      <w:color w:val="auto"/>
                      <w:kern w:val="0"/>
                      <w:sz w:val="21"/>
                      <w:szCs w:val="21"/>
                      <w:highlight w:val="none"/>
                      <w:lang w:val="en-US" w:eastAsia="zh-CN" w:bidi="ar"/>
                    </w:rPr>
                    <w:t>μg/m</w:t>
                  </w:r>
                  <w:r>
                    <w:rPr>
                      <w:rFonts w:hint="default" w:ascii="Times New Roman" w:hAnsi="Times New Roman"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w:t>
                  </w:r>
                </w:p>
              </w:tc>
              <w:tc>
                <w:tcPr>
                  <w:tcW w:w="583" w:type="pct"/>
                  <w:tcBorders>
                    <w:tl2br w:val="nil"/>
                    <w:tr2bl w:val="nil"/>
                  </w:tcBorders>
                  <w:noWrap w:val="0"/>
                  <w:vAlign w:val="center"/>
                </w:tcPr>
                <w:p w14:paraId="3C46427C">
                  <w:pPr>
                    <w:keepNext w:val="0"/>
                    <w:keepLines w:val="0"/>
                    <w:pageBreakBefore w:val="0"/>
                    <w:widowControl w:val="0"/>
                    <w:suppressLineNumbers w:val="0"/>
                    <w:kinsoku/>
                    <w:wordWrap/>
                    <w:overflowPunct/>
                    <w:topLinePunct w:val="0"/>
                    <w:autoSpaceDE/>
                    <w:autoSpaceDN/>
                    <w:bidi w:val="0"/>
                    <w:adjustRightInd/>
                    <w:snapToGrid/>
                    <w:spacing w:before="36" w:beforeAutospacing="0" w:after="0" w:afterAutospacing="0" w:line="240" w:lineRule="auto"/>
                    <w:ind w:left="0" w:right="0" w:firstLine="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占标率</w:t>
                  </w:r>
                </w:p>
                <w:p w14:paraId="797ABC8C">
                  <w:pPr>
                    <w:keepNext w:val="0"/>
                    <w:keepLines w:val="0"/>
                    <w:pageBreakBefore w:val="0"/>
                    <w:widowControl w:val="0"/>
                    <w:suppressLineNumbers w:val="0"/>
                    <w:kinsoku/>
                    <w:wordWrap/>
                    <w:overflowPunct/>
                    <w:topLinePunct w:val="0"/>
                    <w:autoSpaceDE/>
                    <w:autoSpaceDN/>
                    <w:bidi w:val="0"/>
                    <w:adjustRightInd/>
                    <w:snapToGrid/>
                    <w:spacing w:before="36" w:beforeAutospacing="0" w:after="0" w:afterAutospacing="0" w:line="240" w:lineRule="auto"/>
                    <w:ind w:left="0" w:right="0" w:firstLine="0"/>
                    <w:jc w:val="center"/>
                    <w:rPr>
                      <w:rFonts w:hint="default" w:ascii="Times New Roman" w:hAnsi="Times New Roman" w:cs="Times New Roman"/>
                      <w:color w:val="auto"/>
                      <w:kern w:val="0"/>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 xml:space="preserve">（%）  </w:t>
                  </w:r>
                </w:p>
              </w:tc>
              <w:tc>
                <w:tcPr>
                  <w:tcW w:w="440" w:type="pct"/>
                  <w:tcBorders>
                    <w:tl2br w:val="nil"/>
                    <w:tr2bl w:val="nil"/>
                  </w:tcBorders>
                  <w:noWrap w:val="0"/>
                  <w:vAlign w:val="center"/>
                </w:tcPr>
                <w:p w14:paraId="5C7A61C6">
                  <w:pPr>
                    <w:keepNext w:val="0"/>
                    <w:keepLines w:val="0"/>
                    <w:pageBreakBefore w:val="0"/>
                    <w:widowControl w:val="0"/>
                    <w:suppressLineNumbers w:val="0"/>
                    <w:kinsoku/>
                    <w:wordWrap/>
                    <w:overflowPunct/>
                    <w:topLinePunct w:val="0"/>
                    <w:autoSpaceDE/>
                    <w:autoSpaceDN/>
                    <w:bidi w:val="0"/>
                    <w:adjustRightInd/>
                    <w:snapToGrid/>
                    <w:spacing w:before="36" w:beforeAutospacing="0" w:after="0" w:afterAutospacing="0" w:line="240" w:lineRule="auto"/>
                    <w:ind w:left="0" w:right="0" w:firstLine="0"/>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达标</w:t>
                  </w:r>
                </w:p>
                <w:p w14:paraId="71FF4F93">
                  <w:pPr>
                    <w:keepNext w:val="0"/>
                    <w:keepLines w:val="0"/>
                    <w:pageBreakBefore w:val="0"/>
                    <w:widowControl w:val="0"/>
                    <w:suppressLineNumbers w:val="0"/>
                    <w:kinsoku/>
                    <w:wordWrap/>
                    <w:overflowPunct/>
                    <w:topLinePunct w:val="0"/>
                    <w:autoSpaceDE/>
                    <w:autoSpaceDN/>
                    <w:bidi w:val="0"/>
                    <w:adjustRightInd/>
                    <w:snapToGrid/>
                    <w:spacing w:before="36" w:beforeAutospacing="0" w:after="0" w:afterAutospacing="0" w:line="240" w:lineRule="auto"/>
                    <w:ind w:left="0" w:right="0" w:firstLine="0"/>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情况</w:t>
                  </w:r>
                </w:p>
              </w:tc>
            </w:tr>
            <w:tr w14:paraId="3A6AD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03" w:type="pct"/>
                  <w:tcBorders>
                    <w:tl2br w:val="nil"/>
                    <w:tr2bl w:val="nil"/>
                  </w:tcBorders>
                  <w:noWrap w:val="0"/>
                  <w:vAlign w:val="center"/>
                </w:tcPr>
                <w:p w14:paraId="180C4BDB">
                  <w:pPr>
                    <w:keepNext w:val="0"/>
                    <w:keepLines w:val="0"/>
                    <w:pageBreakBefore w:val="0"/>
                    <w:widowControl w:val="0"/>
                    <w:suppressLineNumbers w:val="0"/>
                    <w:kinsoku/>
                    <w:wordWrap/>
                    <w:overflowPunct/>
                    <w:topLinePunct w:val="0"/>
                    <w:autoSpaceDE/>
                    <w:autoSpaceDN/>
                    <w:bidi w:val="0"/>
                    <w:adjustRightInd/>
                    <w:snapToGrid/>
                    <w:spacing w:before="36" w:beforeAutospacing="0" w:after="0" w:afterAutospacing="0" w:line="240" w:lineRule="auto"/>
                    <w:ind w:left="420" w:right="0" w:hanging="42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bidi="ar"/>
                    </w:rPr>
                    <w:t>SO</w:t>
                  </w:r>
                  <w:r>
                    <w:rPr>
                      <w:rFonts w:hint="default" w:ascii="Times New Roman" w:hAnsi="Times New Roman" w:cs="Times New Roman"/>
                      <w:color w:val="auto"/>
                      <w:kern w:val="0"/>
                      <w:sz w:val="21"/>
                      <w:szCs w:val="21"/>
                      <w:highlight w:val="none"/>
                      <w:vertAlign w:val="subscript"/>
                      <w:lang w:val="en-US" w:eastAsia="zh-CN" w:bidi="ar"/>
                    </w:rPr>
                    <w:t>2</w:t>
                  </w:r>
                </w:p>
              </w:tc>
              <w:tc>
                <w:tcPr>
                  <w:tcW w:w="1139" w:type="pct"/>
                  <w:tcBorders>
                    <w:tl2br w:val="nil"/>
                    <w:tr2bl w:val="nil"/>
                  </w:tcBorders>
                  <w:noWrap w:val="0"/>
                  <w:vAlign w:val="center"/>
                </w:tcPr>
                <w:p w14:paraId="7B012D95">
                  <w:pPr>
                    <w:keepNext w:val="0"/>
                    <w:keepLines w:val="0"/>
                    <w:pageBreakBefore w:val="0"/>
                    <w:widowControl w:val="0"/>
                    <w:suppressLineNumbers w:val="0"/>
                    <w:kinsoku/>
                    <w:wordWrap/>
                    <w:overflowPunct/>
                    <w:topLinePunct w:val="0"/>
                    <w:autoSpaceDE/>
                    <w:autoSpaceDN/>
                    <w:bidi w:val="0"/>
                    <w:adjustRightInd/>
                    <w:snapToGrid/>
                    <w:spacing w:before="36" w:beforeAutospacing="0" w:after="0" w:afterAutospacing="0" w:line="240" w:lineRule="auto"/>
                    <w:ind w:left="420" w:right="0" w:hanging="420"/>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年平均浓度</w:t>
                  </w:r>
                </w:p>
              </w:tc>
              <w:tc>
                <w:tcPr>
                  <w:tcW w:w="833" w:type="pct"/>
                  <w:tcBorders>
                    <w:tl2br w:val="nil"/>
                    <w:tr2bl w:val="nil"/>
                  </w:tcBorders>
                  <w:noWrap w:val="0"/>
                  <w:vAlign w:val="center"/>
                </w:tcPr>
                <w:p w14:paraId="38E585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0"/>
                      <w:sz w:val="21"/>
                      <w:szCs w:val="21"/>
                      <w:highlight w:val="none"/>
                      <w:lang w:val="en-US" w:eastAsia="zh-CN" w:bidi="ar"/>
                    </w:rPr>
                    <w:t>-</w:t>
                  </w:r>
                </w:p>
              </w:tc>
              <w:tc>
                <w:tcPr>
                  <w:tcW w:w="750" w:type="pct"/>
                  <w:tcBorders>
                    <w:tl2br w:val="nil"/>
                    <w:tr2bl w:val="nil"/>
                  </w:tcBorders>
                  <w:noWrap w:val="0"/>
                  <w:vAlign w:val="center"/>
                </w:tcPr>
                <w:p w14:paraId="216CF7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eastAsia" w:eastAsia="宋体" w:cs="Times New Roman"/>
                      <w:color w:val="auto"/>
                      <w:kern w:val="2"/>
                      <w:sz w:val="21"/>
                      <w:szCs w:val="21"/>
                      <w:highlight w:val="none"/>
                      <w:lang w:val="en-US" w:eastAsia="zh-CN"/>
                    </w:rPr>
                    <w:t>6</w:t>
                  </w:r>
                </w:p>
              </w:tc>
              <w:tc>
                <w:tcPr>
                  <w:tcW w:w="750" w:type="pct"/>
                  <w:tcBorders>
                    <w:tl2br w:val="nil"/>
                    <w:tr2bl w:val="nil"/>
                  </w:tcBorders>
                  <w:noWrap w:val="0"/>
                  <w:vAlign w:val="center"/>
                </w:tcPr>
                <w:p w14:paraId="4B8178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0"/>
                      <w:sz w:val="21"/>
                      <w:szCs w:val="21"/>
                      <w:highlight w:val="none"/>
                      <w:lang w:val="en-US" w:eastAsia="zh-CN" w:bidi="ar"/>
                    </w:rPr>
                    <w:t>60</w:t>
                  </w:r>
                </w:p>
              </w:tc>
              <w:tc>
                <w:tcPr>
                  <w:tcW w:w="583" w:type="pct"/>
                  <w:tcBorders>
                    <w:tl2br w:val="nil"/>
                    <w:tr2bl w:val="nil"/>
                  </w:tcBorders>
                  <w:noWrap w:val="0"/>
                  <w:vAlign w:val="center"/>
                </w:tcPr>
                <w:p w14:paraId="69AEE9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eastAsia" w:eastAsia="宋体" w:cs="Times New Roman"/>
                      <w:color w:val="auto"/>
                      <w:kern w:val="2"/>
                      <w:sz w:val="21"/>
                      <w:szCs w:val="21"/>
                      <w:highlight w:val="none"/>
                      <w:lang w:val="en-US" w:eastAsia="zh-CN"/>
                    </w:rPr>
                    <w:t>10</w:t>
                  </w:r>
                </w:p>
              </w:tc>
              <w:tc>
                <w:tcPr>
                  <w:tcW w:w="440" w:type="pct"/>
                  <w:tcBorders>
                    <w:tl2br w:val="nil"/>
                    <w:tr2bl w:val="nil"/>
                  </w:tcBorders>
                  <w:noWrap w:val="0"/>
                  <w:vAlign w:val="center"/>
                </w:tcPr>
                <w:p w14:paraId="0FA48B22">
                  <w:pPr>
                    <w:keepNext w:val="0"/>
                    <w:keepLines w:val="0"/>
                    <w:pageBreakBefore w:val="0"/>
                    <w:widowControl w:val="0"/>
                    <w:suppressLineNumbers w:val="0"/>
                    <w:kinsoku/>
                    <w:wordWrap/>
                    <w:overflowPunct/>
                    <w:topLinePunct w:val="0"/>
                    <w:autoSpaceDE/>
                    <w:autoSpaceDN/>
                    <w:bidi w:val="0"/>
                    <w:adjustRightInd/>
                    <w:snapToGrid/>
                    <w:spacing w:before="36" w:beforeAutospacing="0" w:after="0" w:afterAutospacing="0" w:line="240" w:lineRule="auto"/>
                    <w:ind w:left="420" w:right="0" w:hanging="420"/>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达标</w:t>
                  </w:r>
                </w:p>
              </w:tc>
            </w:tr>
            <w:tr w14:paraId="7D34B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03" w:type="pct"/>
                  <w:tcBorders>
                    <w:tl2br w:val="nil"/>
                    <w:tr2bl w:val="nil"/>
                  </w:tcBorders>
                  <w:noWrap w:val="0"/>
                  <w:vAlign w:val="center"/>
                </w:tcPr>
                <w:p w14:paraId="46C9FF7D">
                  <w:pPr>
                    <w:keepNext w:val="0"/>
                    <w:keepLines w:val="0"/>
                    <w:pageBreakBefore w:val="0"/>
                    <w:widowControl w:val="0"/>
                    <w:suppressLineNumbers w:val="0"/>
                    <w:kinsoku/>
                    <w:wordWrap/>
                    <w:overflowPunct/>
                    <w:topLinePunct w:val="0"/>
                    <w:autoSpaceDE/>
                    <w:autoSpaceDN/>
                    <w:bidi w:val="0"/>
                    <w:adjustRightInd/>
                    <w:snapToGrid/>
                    <w:spacing w:before="36" w:beforeAutospacing="0" w:after="0" w:afterAutospacing="0" w:line="240" w:lineRule="auto"/>
                    <w:ind w:left="420" w:right="0" w:hanging="42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bidi="ar"/>
                    </w:rPr>
                    <w:t>NO</w:t>
                  </w:r>
                  <w:r>
                    <w:rPr>
                      <w:rFonts w:hint="default" w:ascii="Times New Roman" w:hAnsi="Times New Roman" w:cs="Times New Roman"/>
                      <w:color w:val="auto"/>
                      <w:kern w:val="0"/>
                      <w:sz w:val="21"/>
                      <w:szCs w:val="21"/>
                      <w:highlight w:val="none"/>
                      <w:vertAlign w:val="subscript"/>
                      <w:lang w:val="en-US" w:eastAsia="zh-CN" w:bidi="ar"/>
                    </w:rPr>
                    <w:t>2</w:t>
                  </w:r>
                </w:p>
              </w:tc>
              <w:tc>
                <w:tcPr>
                  <w:tcW w:w="1139" w:type="pct"/>
                  <w:tcBorders>
                    <w:tl2br w:val="nil"/>
                    <w:tr2bl w:val="nil"/>
                  </w:tcBorders>
                  <w:noWrap w:val="0"/>
                  <w:vAlign w:val="center"/>
                </w:tcPr>
                <w:p w14:paraId="724BAF73">
                  <w:pPr>
                    <w:keepNext w:val="0"/>
                    <w:keepLines w:val="0"/>
                    <w:pageBreakBefore w:val="0"/>
                    <w:widowControl w:val="0"/>
                    <w:suppressLineNumbers w:val="0"/>
                    <w:kinsoku/>
                    <w:wordWrap/>
                    <w:overflowPunct/>
                    <w:topLinePunct w:val="0"/>
                    <w:autoSpaceDE/>
                    <w:autoSpaceDN/>
                    <w:bidi w:val="0"/>
                    <w:adjustRightInd/>
                    <w:snapToGrid/>
                    <w:spacing w:before="36" w:beforeAutospacing="0" w:after="0" w:afterAutospacing="0" w:line="240" w:lineRule="auto"/>
                    <w:ind w:left="420" w:right="0" w:hanging="420"/>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年平均浓度</w:t>
                  </w:r>
                </w:p>
              </w:tc>
              <w:tc>
                <w:tcPr>
                  <w:tcW w:w="833" w:type="pct"/>
                  <w:tcBorders>
                    <w:tl2br w:val="nil"/>
                    <w:tr2bl w:val="nil"/>
                  </w:tcBorders>
                  <w:noWrap w:val="0"/>
                  <w:vAlign w:val="center"/>
                </w:tcPr>
                <w:p w14:paraId="1370BC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0"/>
                      <w:sz w:val="21"/>
                      <w:szCs w:val="21"/>
                      <w:highlight w:val="none"/>
                      <w:lang w:val="en-US" w:eastAsia="zh-CN" w:bidi="ar"/>
                    </w:rPr>
                    <w:t>-</w:t>
                  </w:r>
                </w:p>
              </w:tc>
              <w:tc>
                <w:tcPr>
                  <w:tcW w:w="750" w:type="pct"/>
                  <w:tcBorders>
                    <w:tl2br w:val="nil"/>
                    <w:tr2bl w:val="nil"/>
                  </w:tcBorders>
                  <w:noWrap w:val="0"/>
                  <w:vAlign w:val="center"/>
                </w:tcPr>
                <w:p w14:paraId="48A5DB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eastAsia" w:eastAsia="宋体" w:cs="Times New Roman"/>
                      <w:color w:val="auto"/>
                      <w:kern w:val="2"/>
                      <w:sz w:val="21"/>
                      <w:szCs w:val="21"/>
                      <w:highlight w:val="none"/>
                      <w:lang w:val="en-US" w:eastAsia="zh-CN"/>
                    </w:rPr>
                    <w:t>17</w:t>
                  </w:r>
                </w:p>
              </w:tc>
              <w:tc>
                <w:tcPr>
                  <w:tcW w:w="750" w:type="pct"/>
                  <w:tcBorders>
                    <w:tl2br w:val="nil"/>
                    <w:tr2bl w:val="nil"/>
                  </w:tcBorders>
                  <w:noWrap w:val="0"/>
                  <w:vAlign w:val="center"/>
                </w:tcPr>
                <w:p w14:paraId="7D7C58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val="en-US" w:eastAsia="zh-CN" w:bidi="ar"/>
                    </w:rPr>
                    <w:t>40</w:t>
                  </w:r>
                </w:p>
              </w:tc>
              <w:tc>
                <w:tcPr>
                  <w:tcW w:w="583" w:type="pct"/>
                  <w:tcBorders>
                    <w:tl2br w:val="nil"/>
                    <w:tr2bl w:val="nil"/>
                  </w:tcBorders>
                  <w:noWrap w:val="0"/>
                  <w:vAlign w:val="center"/>
                </w:tcPr>
                <w:p w14:paraId="6D5604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eastAsia" w:eastAsia="宋体" w:cs="Times New Roman"/>
                      <w:color w:val="auto"/>
                      <w:kern w:val="2"/>
                      <w:sz w:val="21"/>
                      <w:szCs w:val="21"/>
                      <w:highlight w:val="none"/>
                      <w:lang w:val="en-US" w:eastAsia="zh-CN"/>
                    </w:rPr>
                    <w:t>43</w:t>
                  </w:r>
                </w:p>
              </w:tc>
              <w:tc>
                <w:tcPr>
                  <w:tcW w:w="440" w:type="pct"/>
                  <w:tcBorders>
                    <w:tl2br w:val="nil"/>
                    <w:tr2bl w:val="nil"/>
                  </w:tcBorders>
                  <w:noWrap w:val="0"/>
                  <w:vAlign w:val="center"/>
                </w:tcPr>
                <w:p w14:paraId="38A8B6B5">
                  <w:pPr>
                    <w:keepNext w:val="0"/>
                    <w:keepLines w:val="0"/>
                    <w:pageBreakBefore w:val="0"/>
                    <w:widowControl w:val="0"/>
                    <w:suppressLineNumbers w:val="0"/>
                    <w:kinsoku/>
                    <w:wordWrap/>
                    <w:overflowPunct/>
                    <w:topLinePunct w:val="0"/>
                    <w:autoSpaceDE/>
                    <w:autoSpaceDN/>
                    <w:bidi w:val="0"/>
                    <w:adjustRightInd/>
                    <w:snapToGrid/>
                    <w:spacing w:before="36" w:beforeAutospacing="0" w:after="0" w:afterAutospacing="0" w:line="240" w:lineRule="auto"/>
                    <w:ind w:left="420" w:right="0" w:hanging="420"/>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达标</w:t>
                  </w:r>
                </w:p>
              </w:tc>
            </w:tr>
            <w:tr w14:paraId="7F7E4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03" w:type="pct"/>
                  <w:tcBorders>
                    <w:tl2br w:val="nil"/>
                    <w:tr2bl w:val="nil"/>
                  </w:tcBorders>
                  <w:noWrap w:val="0"/>
                  <w:vAlign w:val="center"/>
                </w:tcPr>
                <w:p w14:paraId="2FFB7FB0">
                  <w:pPr>
                    <w:keepNext w:val="0"/>
                    <w:keepLines w:val="0"/>
                    <w:pageBreakBefore w:val="0"/>
                    <w:widowControl w:val="0"/>
                    <w:suppressLineNumbers w:val="0"/>
                    <w:kinsoku/>
                    <w:wordWrap/>
                    <w:overflowPunct/>
                    <w:topLinePunct w:val="0"/>
                    <w:autoSpaceDE/>
                    <w:autoSpaceDN/>
                    <w:bidi w:val="0"/>
                    <w:adjustRightInd/>
                    <w:snapToGrid/>
                    <w:spacing w:before="36" w:beforeAutospacing="0" w:after="0" w:afterAutospacing="0" w:line="240" w:lineRule="auto"/>
                    <w:ind w:left="420" w:right="0" w:hanging="42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bidi="ar"/>
                    </w:rPr>
                    <w:t>CO</w:t>
                  </w:r>
                </w:p>
              </w:tc>
              <w:tc>
                <w:tcPr>
                  <w:tcW w:w="1139" w:type="pct"/>
                  <w:tcBorders>
                    <w:tl2br w:val="nil"/>
                    <w:tr2bl w:val="nil"/>
                  </w:tcBorders>
                  <w:noWrap w:val="0"/>
                  <w:vAlign w:val="center"/>
                </w:tcPr>
                <w:p w14:paraId="18C00DAB">
                  <w:pPr>
                    <w:keepNext w:val="0"/>
                    <w:keepLines w:val="0"/>
                    <w:pageBreakBefore w:val="0"/>
                    <w:widowControl w:val="0"/>
                    <w:suppressLineNumbers w:val="0"/>
                    <w:kinsoku/>
                    <w:wordWrap/>
                    <w:overflowPunct/>
                    <w:topLinePunct w:val="0"/>
                    <w:autoSpaceDE/>
                    <w:autoSpaceDN/>
                    <w:bidi w:val="0"/>
                    <w:adjustRightInd/>
                    <w:snapToGrid/>
                    <w:spacing w:before="36" w:beforeAutospacing="0" w:after="0" w:afterAutospacing="0" w:line="240" w:lineRule="auto"/>
                    <w:ind w:left="420" w:right="0" w:hanging="420"/>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百分位数日平均</w:t>
                  </w:r>
                </w:p>
              </w:tc>
              <w:tc>
                <w:tcPr>
                  <w:tcW w:w="833" w:type="pct"/>
                  <w:tcBorders>
                    <w:tl2br w:val="nil"/>
                    <w:tr2bl w:val="nil"/>
                  </w:tcBorders>
                  <w:noWrap w:val="0"/>
                  <w:vAlign w:val="center"/>
                </w:tcPr>
                <w:p w14:paraId="7465FB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0"/>
                      <w:sz w:val="21"/>
                      <w:szCs w:val="21"/>
                      <w:highlight w:val="none"/>
                      <w:lang w:val="en-US" w:eastAsia="zh-CN" w:bidi="ar"/>
                    </w:rPr>
                    <w:t>95%</w:t>
                  </w:r>
                  <w:r>
                    <w:rPr>
                      <w:rFonts w:hint="default" w:ascii="Times New Roman" w:hAnsi="Times New Roman" w:eastAsia="宋体" w:cs="Times New Roman"/>
                      <w:color w:val="auto"/>
                      <w:kern w:val="0"/>
                      <w:sz w:val="21"/>
                      <w:szCs w:val="21"/>
                      <w:highlight w:val="none"/>
                      <w:lang w:val="en-US" w:eastAsia="zh-CN" w:bidi="ar"/>
                    </w:rPr>
                    <w:t>（</w:t>
                  </w:r>
                  <w:r>
                    <w:rPr>
                      <w:rFonts w:hint="default" w:ascii="Times New Roman" w:hAnsi="Times New Roman" w:cs="Times New Roman"/>
                      <w:color w:val="auto"/>
                      <w:kern w:val="0"/>
                      <w:sz w:val="21"/>
                      <w:szCs w:val="21"/>
                      <w:highlight w:val="none"/>
                      <w:lang w:val="en-US" w:eastAsia="zh-CN" w:bidi="ar"/>
                    </w:rPr>
                    <w:t>k=343</w:t>
                  </w:r>
                  <w:r>
                    <w:rPr>
                      <w:rFonts w:hint="default" w:ascii="Times New Roman" w:hAnsi="Times New Roman" w:eastAsia="宋体" w:cs="Times New Roman"/>
                      <w:color w:val="auto"/>
                      <w:kern w:val="0"/>
                      <w:sz w:val="21"/>
                      <w:szCs w:val="21"/>
                      <w:highlight w:val="none"/>
                      <w:lang w:val="en-US" w:eastAsia="zh-CN" w:bidi="ar"/>
                    </w:rPr>
                    <w:t>）</w:t>
                  </w:r>
                </w:p>
              </w:tc>
              <w:tc>
                <w:tcPr>
                  <w:tcW w:w="750" w:type="pct"/>
                  <w:tcBorders>
                    <w:tl2br w:val="nil"/>
                    <w:tr2bl w:val="nil"/>
                  </w:tcBorders>
                  <w:noWrap w:val="0"/>
                  <w:vAlign w:val="center"/>
                </w:tcPr>
                <w:p w14:paraId="41A165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eastAsia" w:eastAsia="宋体" w:cs="Times New Roman"/>
                      <w:color w:val="auto"/>
                      <w:kern w:val="2"/>
                      <w:sz w:val="21"/>
                      <w:szCs w:val="21"/>
                      <w:highlight w:val="none"/>
                      <w:lang w:val="en-US" w:eastAsia="zh-CN"/>
                    </w:rPr>
                    <w:t>1000</w:t>
                  </w:r>
                </w:p>
              </w:tc>
              <w:tc>
                <w:tcPr>
                  <w:tcW w:w="750" w:type="pct"/>
                  <w:tcBorders>
                    <w:tl2br w:val="nil"/>
                    <w:tr2bl w:val="nil"/>
                  </w:tcBorders>
                  <w:noWrap w:val="0"/>
                  <w:vAlign w:val="center"/>
                </w:tcPr>
                <w:p w14:paraId="3FE27A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0"/>
                      <w:sz w:val="21"/>
                      <w:szCs w:val="21"/>
                      <w:highlight w:val="none"/>
                      <w:lang w:val="en-US" w:eastAsia="zh-CN" w:bidi="ar"/>
                    </w:rPr>
                    <w:t>4000</w:t>
                  </w:r>
                </w:p>
              </w:tc>
              <w:tc>
                <w:tcPr>
                  <w:tcW w:w="583" w:type="pct"/>
                  <w:tcBorders>
                    <w:tl2br w:val="nil"/>
                    <w:tr2bl w:val="nil"/>
                  </w:tcBorders>
                  <w:noWrap w:val="0"/>
                  <w:vAlign w:val="center"/>
                </w:tcPr>
                <w:p w14:paraId="161A1F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eastAsia" w:eastAsia="宋体" w:cs="Times New Roman"/>
                      <w:color w:val="auto"/>
                      <w:kern w:val="2"/>
                      <w:sz w:val="21"/>
                      <w:szCs w:val="21"/>
                      <w:highlight w:val="none"/>
                      <w:lang w:val="en-US" w:eastAsia="zh-CN"/>
                    </w:rPr>
                    <w:t>25</w:t>
                  </w:r>
                </w:p>
              </w:tc>
              <w:tc>
                <w:tcPr>
                  <w:tcW w:w="440" w:type="pct"/>
                  <w:tcBorders>
                    <w:tl2br w:val="nil"/>
                    <w:tr2bl w:val="nil"/>
                  </w:tcBorders>
                  <w:noWrap w:val="0"/>
                  <w:vAlign w:val="center"/>
                </w:tcPr>
                <w:p w14:paraId="34D97C21">
                  <w:pPr>
                    <w:keepNext w:val="0"/>
                    <w:keepLines w:val="0"/>
                    <w:pageBreakBefore w:val="0"/>
                    <w:widowControl w:val="0"/>
                    <w:suppressLineNumbers w:val="0"/>
                    <w:kinsoku/>
                    <w:wordWrap/>
                    <w:overflowPunct/>
                    <w:topLinePunct w:val="0"/>
                    <w:autoSpaceDE/>
                    <w:autoSpaceDN/>
                    <w:bidi w:val="0"/>
                    <w:adjustRightInd/>
                    <w:snapToGrid/>
                    <w:spacing w:before="36" w:beforeAutospacing="0" w:after="0" w:afterAutospacing="0" w:line="240" w:lineRule="auto"/>
                    <w:ind w:left="420" w:right="0" w:hanging="420"/>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达标</w:t>
                  </w:r>
                </w:p>
              </w:tc>
            </w:tr>
            <w:tr w14:paraId="3B065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03" w:type="pct"/>
                  <w:tcBorders>
                    <w:tl2br w:val="nil"/>
                    <w:tr2bl w:val="nil"/>
                  </w:tcBorders>
                  <w:noWrap w:val="0"/>
                  <w:vAlign w:val="center"/>
                </w:tcPr>
                <w:p w14:paraId="05209589">
                  <w:pPr>
                    <w:keepNext w:val="0"/>
                    <w:keepLines w:val="0"/>
                    <w:pageBreakBefore w:val="0"/>
                    <w:widowControl w:val="0"/>
                    <w:suppressLineNumbers w:val="0"/>
                    <w:kinsoku/>
                    <w:wordWrap/>
                    <w:overflowPunct/>
                    <w:topLinePunct w:val="0"/>
                    <w:autoSpaceDE/>
                    <w:autoSpaceDN/>
                    <w:bidi w:val="0"/>
                    <w:adjustRightInd/>
                    <w:snapToGrid/>
                    <w:spacing w:before="36" w:beforeAutospacing="0" w:after="0" w:afterAutospacing="0" w:line="240" w:lineRule="auto"/>
                    <w:ind w:left="420" w:right="0" w:hanging="42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bidi="ar"/>
                    </w:rPr>
                    <w:t>O</w:t>
                  </w:r>
                  <w:r>
                    <w:rPr>
                      <w:rFonts w:hint="default" w:ascii="Times New Roman" w:hAnsi="Times New Roman" w:cs="Times New Roman"/>
                      <w:color w:val="auto"/>
                      <w:kern w:val="0"/>
                      <w:sz w:val="21"/>
                      <w:szCs w:val="21"/>
                      <w:highlight w:val="none"/>
                      <w:vertAlign w:val="subscript"/>
                      <w:lang w:val="en-US" w:eastAsia="zh-CN" w:bidi="ar"/>
                    </w:rPr>
                    <w:t>3</w:t>
                  </w:r>
                </w:p>
              </w:tc>
              <w:tc>
                <w:tcPr>
                  <w:tcW w:w="1139" w:type="pct"/>
                  <w:tcBorders>
                    <w:tl2br w:val="nil"/>
                    <w:tr2bl w:val="nil"/>
                  </w:tcBorders>
                  <w:noWrap w:val="0"/>
                  <w:vAlign w:val="center"/>
                </w:tcPr>
                <w:p w14:paraId="04E812FF">
                  <w:pPr>
                    <w:keepNext w:val="0"/>
                    <w:keepLines w:val="0"/>
                    <w:pageBreakBefore w:val="0"/>
                    <w:widowControl w:val="0"/>
                    <w:suppressLineNumbers w:val="0"/>
                    <w:kinsoku/>
                    <w:wordWrap/>
                    <w:overflowPunct/>
                    <w:topLinePunct w:val="0"/>
                    <w:autoSpaceDE/>
                    <w:autoSpaceDN/>
                    <w:bidi w:val="0"/>
                    <w:adjustRightInd/>
                    <w:snapToGrid/>
                    <w:spacing w:before="36" w:beforeAutospacing="0" w:after="0" w:afterAutospacing="0" w:line="240" w:lineRule="auto"/>
                    <w:ind w:left="420" w:right="0" w:hanging="42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bidi="ar"/>
                    </w:rPr>
                    <w:t>8h</w:t>
                  </w:r>
                  <w:r>
                    <w:rPr>
                      <w:rFonts w:hint="default" w:ascii="Times New Roman" w:hAnsi="Times New Roman" w:eastAsia="宋体" w:cs="Times New Roman"/>
                      <w:color w:val="auto"/>
                      <w:kern w:val="0"/>
                      <w:sz w:val="21"/>
                      <w:szCs w:val="21"/>
                      <w:highlight w:val="none"/>
                      <w:lang w:val="en-US" w:eastAsia="zh-CN" w:bidi="ar"/>
                    </w:rPr>
                    <w:t>平均质量浓度</w:t>
                  </w:r>
                </w:p>
              </w:tc>
              <w:tc>
                <w:tcPr>
                  <w:tcW w:w="833" w:type="pct"/>
                  <w:tcBorders>
                    <w:tl2br w:val="nil"/>
                    <w:tr2bl w:val="nil"/>
                  </w:tcBorders>
                  <w:noWrap w:val="0"/>
                  <w:vAlign w:val="center"/>
                </w:tcPr>
                <w:p w14:paraId="306BC6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0"/>
                      <w:sz w:val="21"/>
                      <w:szCs w:val="21"/>
                      <w:highlight w:val="none"/>
                      <w:lang w:val="en-US" w:eastAsia="zh-CN" w:bidi="ar"/>
                    </w:rPr>
                    <w:t>90%</w:t>
                  </w:r>
                  <w:r>
                    <w:rPr>
                      <w:rFonts w:hint="default" w:ascii="Times New Roman" w:hAnsi="Times New Roman" w:eastAsia="宋体" w:cs="Times New Roman"/>
                      <w:color w:val="auto"/>
                      <w:kern w:val="0"/>
                      <w:sz w:val="21"/>
                      <w:szCs w:val="21"/>
                      <w:highlight w:val="none"/>
                      <w:lang w:val="en-US" w:eastAsia="zh-CN" w:bidi="ar"/>
                    </w:rPr>
                    <w:t>（</w:t>
                  </w:r>
                  <w:r>
                    <w:rPr>
                      <w:rFonts w:hint="default" w:ascii="Times New Roman" w:hAnsi="Times New Roman" w:cs="Times New Roman"/>
                      <w:color w:val="auto"/>
                      <w:kern w:val="0"/>
                      <w:sz w:val="21"/>
                      <w:szCs w:val="21"/>
                      <w:highlight w:val="none"/>
                      <w:lang w:val="en-US" w:eastAsia="zh-CN" w:bidi="ar"/>
                    </w:rPr>
                    <w:t>k=329</w:t>
                  </w:r>
                  <w:r>
                    <w:rPr>
                      <w:rFonts w:hint="default" w:ascii="Times New Roman" w:hAnsi="Times New Roman" w:eastAsia="宋体" w:cs="Times New Roman"/>
                      <w:color w:val="auto"/>
                      <w:kern w:val="0"/>
                      <w:sz w:val="21"/>
                      <w:szCs w:val="21"/>
                      <w:highlight w:val="none"/>
                      <w:lang w:val="en-US" w:eastAsia="zh-CN" w:bidi="ar"/>
                    </w:rPr>
                    <w:t>）</w:t>
                  </w:r>
                </w:p>
              </w:tc>
              <w:tc>
                <w:tcPr>
                  <w:tcW w:w="750" w:type="pct"/>
                  <w:tcBorders>
                    <w:tl2br w:val="nil"/>
                    <w:tr2bl w:val="nil"/>
                  </w:tcBorders>
                  <w:noWrap w:val="0"/>
                  <w:vAlign w:val="center"/>
                </w:tcPr>
                <w:p w14:paraId="3680AE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eastAsia" w:eastAsia="宋体" w:cs="Times New Roman"/>
                      <w:color w:val="auto"/>
                      <w:kern w:val="2"/>
                      <w:sz w:val="21"/>
                      <w:szCs w:val="21"/>
                      <w:highlight w:val="none"/>
                      <w:lang w:val="en-US" w:eastAsia="zh-CN"/>
                    </w:rPr>
                    <w:t>90</w:t>
                  </w:r>
                </w:p>
              </w:tc>
              <w:tc>
                <w:tcPr>
                  <w:tcW w:w="750" w:type="pct"/>
                  <w:tcBorders>
                    <w:tl2br w:val="nil"/>
                    <w:tr2bl w:val="nil"/>
                  </w:tcBorders>
                  <w:noWrap w:val="0"/>
                  <w:vAlign w:val="center"/>
                </w:tcPr>
                <w:p w14:paraId="6B0F08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0"/>
                      <w:sz w:val="21"/>
                      <w:szCs w:val="21"/>
                      <w:highlight w:val="none"/>
                      <w:lang w:val="en-US" w:eastAsia="zh-CN" w:bidi="ar"/>
                    </w:rPr>
                    <w:t>160</w:t>
                  </w:r>
                </w:p>
              </w:tc>
              <w:tc>
                <w:tcPr>
                  <w:tcW w:w="583" w:type="pct"/>
                  <w:tcBorders>
                    <w:tl2br w:val="nil"/>
                    <w:tr2bl w:val="nil"/>
                  </w:tcBorders>
                  <w:noWrap w:val="0"/>
                  <w:vAlign w:val="center"/>
                </w:tcPr>
                <w:p w14:paraId="6FDA93C5">
                  <w:pPr>
                    <w:keepNext w:val="0"/>
                    <w:keepLines w:val="0"/>
                    <w:pageBreakBefore w:val="0"/>
                    <w:widowControl w:val="0"/>
                    <w:suppressLineNumbers w:val="0"/>
                    <w:tabs>
                      <w:tab w:val="left" w:pos="264"/>
                    </w:tabs>
                    <w:kinsoku/>
                    <w:wordWrap/>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eastAsia" w:eastAsia="宋体" w:cs="Times New Roman"/>
                      <w:color w:val="auto"/>
                      <w:kern w:val="2"/>
                      <w:sz w:val="21"/>
                      <w:szCs w:val="21"/>
                      <w:highlight w:val="none"/>
                      <w:lang w:val="en-US" w:eastAsia="zh-CN"/>
                    </w:rPr>
                    <w:t>56</w:t>
                  </w:r>
                </w:p>
              </w:tc>
              <w:tc>
                <w:tcPr>
                  <w:tcW w:w="440" w:type="pct"/>
                  <w:tcBorders>
                    <w:tl2br w:val="nil"/>
                    <w:tr2bl w:val="nil"/>
                  </w:tcBorders>
                  <w:noWrap w:val="0"/>
                  <w:vAlign w:val="center"/>
                </w:tcPr>
                <w:p w14:paraId="3706E49B">
                  <w:pPr>
                    <w:keepNext w:val="0"/>
                    <w:keepLines w:val="0"/>
                    <w:pageBreakBefore w:val="0"/>
                    <w:widowControl w:val="0"/>
                    <w:suppressLineNumbers w:val="0"/>
                    <w:kinsoku/>
                    <w:wordWrap/>
                    <w:overflowPunct/>
                    <w:topLinePunct w:val="0"/>
                    <w:autoSpaceDE/>
                    <w:autoSpaceDN/>
                    <w:bidi w:val="0"/>
                    <w:adjustRightInd/>
                    <w:snapToGrid/>
                    <w:spacing w:before="36" w:beforeAutospacing="0" w:after="0" w:afterAutospacing="0" w:line="240" w:lineRule="auto"/>
                    <w:ind w:left="420" w:right="0" w:hanging="420"/>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达标</w:t>
                  </w:r>
                </w:p>
              </w:tc>
            </w:tr>
            <w:tr w14:paraId="2F69F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03" w:type="pct"/>
                  <w:tcBorders>
                    <w:tl2br w:val="nil"/>
                    <w:tr2bl w:val="nil"/>
                  </w:tcBorders>
                  <w:noWrap w:val="0"/>
                  <w:vAlign w:val="center"/>
                </w:tcPr>
                <w:p w14:paraId="348C668F">
                  <w:pPr>
                    <w:keepNext w:val="0"/>
                    <w:keepLines w:val="0"/>
                    <w:pageBreakBefore w:val="0"/>
                    <w:widowControl w:val="0"/>
                    <w:suppressLineNumbers w:val="0"/>
                    <w:kinsoku/>
                    <w:wordWrap/>
                    <w:overflowPunct/>
                    <w:topLinePunct w:val="0"/>
                    <w:autoSpaceDE/>
                    <w:autoSpaceDN/>
                    <w:bidi w:val="0"/>
                    <w:adjustRightInd/>
                    <w:snapToGrid/>
                    <w:spacing w:before="36" w:beforeAutospacing="0" w:after="0" w:afterAutospacing="0" w:line="240" w:lineRule="auto"/>
                    <w:ind w:left="420" w:right="0" w:hanging="42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bidi="ar"/>
                    </w:rPr>
                    <w:t>PM</w:t>
                  </w:r>
                  <w:r>
                    <w:rPr>
                      <w:rFonts w:hint="default" w:ascii="Times New Roman" w:hAnsi="Times New Roman" w:cs="Times New Roman"/>
                      <w:color w:val="auto"/>
                      <w:kern w:val="0"/>
                      <w:sz w:val="21"/>
                      <w:szCs w:val="21"/>
                      <w:highlight w:val="none"/>
                      <w:vertAlign w:val="subscript"/>
                      <w:lang w:val="en-US" w:eastAsia="zh-CN" w:bidi="ar"/>
                    </w:rPr>
                    <w:t>2.5</w:t>
                  </w:r>
                </w:p>
              </w:tc>
              <w:tc>
                <w:tcPr>
                  <w:tcW w:w="1139" w:type="pct"/>
                  <w:tcBorders>
                    <w:tl2br w:val="nil"/>
                    <w:tr2bl w:val="nil"/>
                  </w:tcBorders>
                  <w:noWrap w:val="0"/>
                  <w:vAlign w:val="center"/>
                </w:tcPr>
                <w:p w14:paraId="1FC7863F">
                  <w:pPr>
                    <w:keepNext w:val="0"/>
                    <w:keepLines w:val="0"/>
                    <w:pageBreakBefore w:val="0"/>
                    <w:widowControl w:val="0"/>
                    <w:suppressLineNumbers w:val="0"/>
                    <w:kinsoku/>
                    <w:wordWrap/>
                    <w:overflowPunct/>
                    <w:topLinePunct w:val="0"/>
                    <w:autoSpaceDE/>
                    <w:autoSpaceDN/>
                    <w:bidi w:val="0"/>
                    <w:adjustRightInd/>
                    <w:snapToGrid/>
                    <w:spacing w:before="36" w:beforeAutospacing="0" w:after="0" w:afterAutospacing="0" w:line="240" w:lineRule="auto"/>
                    <w:ind w:left="420" w:right="0" w:hanging="420"/>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年平均浓度</w:t>
                  </w:r>
                </w:p>
              </w:tc>
              <w:tc>
                <w:tcPr>
                  <w:tcW w:w="833" w:type="pct"/>
                  <w:tcBorders>
                    <w:tl2br w:val="nil"/>
                    <w:tr2bl w:val="nil"/>
                  </w:tcBorders>
                  <w:noWrap w:val="0"/>
                  <w:vAlign w:val="center"/>
                </w:tcPr>
                <w:p w14:paraId="233BCD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0"/>
                      <w:sz w:val="21"/>
                      <w:szCs w:val="21"/>
                      <w:highlight w:val="none"/>
                      <w:lang w:val="en-US" w:eastAsia="zh-CN" w:bidi="ar"/>
                    </w:rPr>
                    <w:t>-</w:t>
                  </w:r>
                </w:p>
              </w:tc>
              <w:tc>
                <w:tcPr>
                  <w:tcW w:w="750" w:type="pct"/>
                  <w:tcBorders>
                    <w:tl2br w:val="nil"/>
                    <w:tr2bl w:val="nil"/>
                  </w:tcBorders>
                  <w:noWrap w:val="0"/>
                  <w:vAlign w:val="center"/>
                </w:tcPr>
                <w:p w14:paraId="1D4557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eastAsia" w:eastAsia="宋体" w:cs="Times New Roman"/>
                      <w:color w:val="auto"/>
                      <w:kern w:val="2"/>
                      <w:sz w:val="21"/>
                      <w:szCs w:val="21"/>
                      <w:highlight w:val="none"/>
                      <w:lang w:val="en-US" w:eastAsia="zh-CN"/>
                    </w:rPr>
                    <w:t>38</w:t>
                  </w:r>
                </w:p>
              </w:tc>
              <w:tc>
                <w:tcPr>
                  <w:tcW w:w="750" w:type="pct"/>
                  <w:tcBorders>
                    <w:tl2br w:val="nil"/>
                    <w:tr2bl w:val="nil"/>
                  </w:tcBorders>
                  <w:noWrap w:val="0"/>
                  <w:vAlign w:val="center"/>
                </w:tcPr>
                <w:p w14:paraId="6DD897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0"/>
                      <w:sz w:val="21"/>
                      <w:szCs w:val="21"/>
                      <w:highlight w:val="none"/>
                      <w:lang w:val="en-US" w:eastAsia="zh-CN" w:bidi="ar"/>
                    </w:rPr>
                    <w:t>35</w:t>
                  </w:r>
                </w:p>
              </w:tc>
              <w:tc>
                <w:tcPr>
                  <w:tcW w:w="583" w:type="pct"/>
                  <w:tcBorders>
                    <w:tl2br w:val="nil"/>
                    <w:tr2bl w:val="nil"/>
                  </w:tcBorders>
                  <w:noWrap w:val="0"/>
                  <w:vAlign w:val="center"/>
                </w:tcPr>
                <w:p w14:paraId="3272E1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eastAsia" w:eastAsia="宋体" w:cs="Times New Roman"/>
                      <w:color w:val="auto"/>
                      <w:kern w:val="2"/>
                      <w:sz w:val="21"/>
                      <w:szCs w:val="21"/>
                      <w:highlight w:val="none"/>
                      <w:lang w:val="en-US" w:eastAsia="zh-CN"/>
                    </w:rPr>
                    <w:t>109</w:t>
                  </w:r>
                </w:p>
              </w:tc>
              <w:tc>
                <w:tcPr>
                  <w:tcW w:w="440" w:type="pct"/>
                  <w:tcBorders>
                    <w:tl2br w:val="nil"/>
                    <w:tr2bl w:val="nil"/>
                  </w:tcBorders>
                  <w:noWrap w:val="0"/>
                  <w:vAlign w:val="center"/>
                </w:tcPr>
                <w:p w14:paraId="3F55BDC5">
                  <w:pPr>
                    <w:keepNext w:val="0"/>
                    <w:keepLines w:val="0"/>
                    <w:pageBreakBefore w:val="0"/>
                    <w:widowControl w:val="0"/>
                    <w:suppressLineNumbers w:val="0"/>
                    <w:kinsoku/>
                    <w:wordWrap/>
                    <w:overflowPunct/>
                    <w:topLinePunct w:val="0"/>
                    <w:autoSpaceDE/>
                    <w:autoSpaceDN/>
                    <w:bidi w:val="0"/>
                    <w:adjustRightInd/>
                    <w:snapToGrid/>
                    <w:spacing w:before="36" w:beforeAutospacing="0" w:after="0" w:afterAutospacing="0" w:line="240" w:lineRule="auto"/>
                    <w:ind w:left="420" w:right="0" w:hanging="420"/>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超标</w:t>
                  </w:r>
                </w:p>
              </w:tc>
            </w:tr>
            <w:tr w14:paraId="26DA4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03" w:type="pct"/>
                  <w:tcBorders>
                    <w:tl2br w:val="nil"/>
                    <w:tr2bl w:val="nil"/>
                  </w:tcBorders>
                  <w:noWrap w:val="0"/>
                  <w:vAlign w:val="center"/>
                </w:tcPr>
                <w:p w14:paraId="5253606F">
                  <w:pPr>
                    <w:keepNext w:val="0"/>
                    <w:keepLines w:val="0"/>
                    <w:pageBreakBefore w:val="0"/>
                    <w:widowControl w:val="0"/>
                    <w:suppressLineNumbers w:val="0"/>
                    <w:kinsoku/>
                    <w:wordWrap/>
                    <w:overflowPunct/>
                    <w:topLinePunct w:val="0"/>
                    <w:autoSpaceDE/>
                    <w:autoSpaceDN/>
                    <w:bidi w:val="0"/>
                    <w:adjustRightInd/>
                    <w:snapToGrid/>
                    <w:spacing w:before="36" w:beforeAutospacing="0" w:after="0" w:afterAutospacing="0" w:line="240" w:lineRule="auto"/>
                    <w:ind w:left="420" w:right="0" w:hanging="42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bidi="ar"/>
                    </w:rPr>
                    <w:t>PM</w:t>
                  </w:r>
                  <w:r>
                    <w:rPr>
                      <w:rFonts w:hint="default" w:ascii="Times New Roman" w:hAnsi="Times New Roman" w:cs="Times New Roman"/>
                      <w:color w:val="auto"/>
                      <w:kern w:val="0"/>
                      <w:sz w:val="21"/>
                      <w:szCs w:val="21"/>
                      <w:highlight w:val="none"/>
                      <w:vertAlign w:val="subscript"/>
                      <w:lang w:val="en-US" w:eastAsia="zh-CN" w:bidi="ar"/>
                    </w:rPr>
                    <w:t>10</w:t>
                  </w:r>
                </w:p>
              </w:tc>
              <w:tc>
                <w:tcPr>
                  <w:tcW w:w="1139" w:type="pct"/>
                  <w:tcBorders>
                    <w:tl2br w:val="nil"/>
                    <w:tr2bl w:val="nil"/>
                  </w:tcBorders>
                  <w:noWrap w:val="0"/>
                  <w:vAlign w:val="center"/>
                </w:tcPr>
                <w:p w14:paraId="6F647B65">
                  <w:pPr>
                    <w:keepNext w:val="0"/>
                    <w:keepLines w:val="0"/>
                    <w:pageBreakBefore w:val="0"/>
                    <w:widowControl w:val="0"/>
                    <w:suppressLineNumbers w:val="0"/>
                    <w:kinsoku/>
                    <w:wordWrap/>
                    <w:overflowPunct/>
                    <w:topLinePunct w:val="0"/>
                    <w:autoSpaceDE/>
                    <w:autoSpaceDN/>
                    <w:bidi w:val="0"/>
                    <w:adjustRightInd/>
                    <w:snapToGrid/>
                    <w:spacing w:before="36" w:beforeAutospacing="0" w:after="0" w:afterAutospacing="0" w:line="240" w:lineRule="auto"/>
                    <w:ind w:left="420" w:right="0" w:hanging="420"/>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年平均浓度</w:t>
                  </w:r>
                </w:p>
              </w:tc>
              <w:tc>
                <w:tcPr>
                  <w:tcW w:w="833" w:type="pct"/>
                  <w:tcBorders>
                    <w:tl2br w:val="nil"/>
                    <w:tr2bl w:val="nil"/>
                  </w:tcBorders>
                  <w:noWrap w:val="0"/>
                  <w:vAlign w:val="center"/>
                </w:tcPr>
                <w:p w14:paraId="648F6A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0"/>
                      <w:sz w:val="21"/>
                      <w:szCs w:val="21"/>
                      <w:highlight w:val="none"/>
                      <w:lang w:val="en-US" w:eastAsia="zh-CN" w:bidi="ar"/>
                    </w:rPr>
                    <w:t>-</w:t>
                  </w:r>
                </w:p>
              </w:tc>
              <w:tc>
                <w:tcPr>
                  <w:tcW w:w="750" w:type="pct"/>
                  <w:tcBorders>
                    <w:tl2br w:val="nil"/>
                    <w:tr2bl w:val="nil"/>
                  </w:tcBorders>
                  <w:noWrap w:val="0"/>
                  <w:vAlign w:val="center"/>
                </w:tcPr>
                <w:p w14:paraId="6710F3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eastAsia" w:eastAsia="宋体" w:cs="Times New Roman"/>
                      <w:color w:val="auto"/>
                      <w:kern w:val="2"/>
                      <w:sz w:val="21"/>
                      <w:szCs w:val="21"/>
                      <w:highlight w:val="none"/>
                      <w:lang w:val="en-US" w:eastAsia="zh-CN"/>
                    </w:rPr>
                    <w:t>74</w:t>
                  </w:r>
                </w:p>
              </w:tc>
              <w:tc>
                <w:tcPr>
                  <w:tcW w:w="750" w:type="pct"/>
                  <w:tcBorders>
                    <w:tl2br w:val="nil"/>
                    <w:tr2bl w:val="nil"/>
                  </w:tcBorders>
                  <w:noWrap w:val="0"/>
                  <w:vAlign w:val="center"/>
                </w:tcPr>
                <w:p w14:paraId="39A959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0"/>
                      <w:sz w:val="21"/>
                      <w:szCs w:val="21"/>
                      <w:highlight w:val="none"/>
                      <w:lang w:val="en-US" w:eastAsia="zh-CN" w:bidi="ar"/>
                    </w:rPr>
                    <w:t>70</w:t>
                  </w:r>
                </w:p>
              </w:tc>
              <w:tc>
                <w:tcPr>
                  <w:tcW w:w="583" w:type="pct"/>
                  <w:tcBorders>
                    <w:tl2br w:val="nil"/>
                    <w:tr2bl w:val="nil"/>
                  </w:tcBorders>
                  <w:noWrap w:val="0"/>
                  <w:vAlign w:val="center"/>
                </w:tcPr>
                <w:p w14:paraId="06794C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eastAsia" w:eastAsia="宋体" w:cs="Times New Roman"/>
                      <w:color w:val="auto"/>
                      <w:kern w:val="2"/>
                      <w:sz w:val="21"/>
                      <w:szCs w:val="21"/>
                      <w:highlight w:val="none"/>
                      <w:lang w:val="en-US" w:eastAsia="zh-CN"/>
                    </w:rPr>
                    <w:t>106</w:t>
                  </w:r>
                </w:p>
              </w:tc>
              <w:tc>
                <w:tcPr>
                  <w:tcW w:w="440" w:type="pct"/>
                  <w:tcBorders>
                    <w:tl2br w:val="nil"/>
                    <w:tr2bl w:val="nil"/>
                  </w:tcBorders>
                  <w:noWrap w:val="0"/>
                  <w:vAlign w:val="center"/>
                </w:tcPr>
                <w:p w14:paraId="62228DFC">
                  <w:pPr>
                    <w:keepNext w:val="0"/>
                    <w:keepLines w:val="0"/>
                    <w:pageBreakBefore w:val="0"/>
                    <w:widowControl w:val="0"/>
                    <w:suppressLineNumbers w:val="0"/>
                    <w:kinsoku/>
                    <w:wordWrap/>
                    <w:overflowPunct/>
                    <w:topLinePunct w:val="0"/>
                    <w:autoSpaceDE/>
                    <w:autoSpaceDN/>
                    <w:bidi w:val="0"/>
                    <w:adjustRightInd/>
                    <w:snapToGrid/>
                    <w:spacing w:before="36" w:beforeAutospacing="0" w:after="0" w:afterAutospacing="0" w:line="240" w:lineRule="auto"/>
                    <w:ind w:left="420" w:right="0" w:hanging="420"/>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超标</w:t>
                  </w:r>
                </w:p>
              </w:tc>
            </w:tr>
          </w:tbl>
          <w:p w14:paraId="6B884EBB">
            <w:pPr>
              <w:keepNext w:val="0"/>
              <w:keepLines w:val="0"/>
              <w:pageBreakBefore w:val="0"/>
              <w:widowControl w:val="0"/>
              <w:suppressLineNumbers w:val="0"/>
              <w:wordWrap/>
              <w:topLinePunct w:val="0"/>
              <w:bidi w:val="0"/>
              <w:spacing w:before="120" w:beforeLines="50" w:beforeAutospacing="0" w:after="60" w:afterLines="25" w:afterAutospacing="0" w:line="360" w:lineRule="auto"/>
              <w:ind w:left="0" w:right="0" w:firstLine="456" w:firstLineChars="200"/>
              <w:jc w:val="both"/>
              <w:rPr>
                <w:rFonts w:hint="default" w:ascii="Times New Roman" w:hAnsi="Times New Roman" w:cs="Times New Roman"/>
                <w:bCs/>
                <w:color w:val="auto"/>
                <w:spacing w:val="-6"/>
                <w:kern w:val="2"/>
                <w:sz w:val="24"/>
                <w:szCs w:val="24"/>
                <w:highlight w:val="none"/>
              </w:rPr>
            </w:pPr>
            <w:r>
              <w:rPr>
                <w:rFonts w:hint="default" w:ascii="Times New Roman" w:hAnsi="Times New Roman" w:eastAsia="宋体" w:cs="Times New Roman"/>
                <w:color w:val="auto"/>
                <w:spacing w:val="-6"/>
                <w:kern w:val="0"/>
                <w:sz w:val="24"/>
                <w:szCs w:val="24"/>
                <w:highlight w:val="none"/>
                <w:lang w:val="en-US" w:eastAsia="zh-CN" w:bidi="ar"/>
              </w:rPr>
              <w:t>由上表</w:t>
            </w:r>
            <w:r>
              <w:rPr>
                <w:rFonts w:hint="default" w:ascii="Times New Roman" w:hAnsi="Times New Roman" w:cs="Times New Roman"/>
                <w:color w:val="auto"/>
                <w:spacing w:val="-6"/>
                <w:sz w:val="24"/>
                <w:szCs w:val="24"/>
                <w:highlight w:val="none"/>
                <w:lang w:eastAsia="zh-CN"/>
              </w:rPr>
              <w:t>评价</w:t>
            </w:r>
            <w:r>
              <w:rPr>
                <w:rFonts w:hint="default" w:ascii="Times New Roman" w:hAnsi="Times New Roman" w:eastAsia="宋体" w:cs="Times New Roman"/>
                <w:color w:val="auto"/>
                <w:spacing w:val="-6"/>
                <w:kern w:val="0"/>
                <w:sz w:val="24"/>
                <w:szCs w:val="24"/>
                <w:highlight w:val="none"/>
                <w:lang w:val="en-US" w:eastAsia="zh-CN" w:bidi="ar"/>
              </w:rPr>
              <w:t>结果可见，本项目所在区域</w:t>
            </w:r>
            <w:r>
              <w:rPr>
                <w:rFonts w:hint="default" w:ascii="Times New Roman" w:hAnsi="Times New Roman" w:cs="Times New Roman"/>
                <w:color w:val="auto"/>
                <w:spacing w:val="-6"/>
                <w:kern w:val="0"/>
                <w:sz w:val="24"/>
                <w:szCs w:val="24"/>
                <w:highlight w:val="none"/>
                <w:lang w:val="en-US" w:eastAsia="zh-CN" w:bidi="ar"/>
              </w:rPr>
              <w:t>SO</w:t>
            </w:r>
            <w:r>
              <w:rPr>
                <w:rFonts w:hint="default" w:ascii="Times New Roman" w:hAnsi="Times New Roman" w:cs="Times New Roman"/>
                <w:color w:val="auto"/>
                <w:spacing w:val="-6"/>
                <w:kern w:val="0"/>
                <w:sz w:val="24"/>
                <w:szCs w:val="24"/>
                <w:highlight w:val="none"/>
                <w:vertAlign w:val="subscript"/>
                <w:lang w:val="en-US" w:eastAsia="zh-CN" w:bidi="ar"/>
              </w:rPr>
              <w:t>2</w:t>
            </w:r>
            <w:r>
              <w:rPr>
                <w:rFonts w:hint="default" w:ascii="Times New Roman" w:hAnsi="Times New Roman" w:eastAsia="宋体" w:cs="Times New Roman"/>
                <w:color w:val="auto"/>
                <w:spacing w:val="-6"/>
                <w:kern w:val="0"/>
                <w:sz w:val="24"/>
                <w:szCs w:val="24"/>
                <w:highlight w:val="none"/>
                <w:lang w:val="en-US" w:eastAsia="zh-CN" w:bidi="ar"/>
              </w:rPr>
              <w:t>、</w:t>
            </w:r>
            <w:r>
              <w:rPr>
                <w:rFonts w:hint="default" w:ascii="Times New Roman" w:hAnsi="Times New Roman" w:cs="Times New Roman"/>
                <w:color w:val="auto"/>
                <w:spacing w:val="-6"/>
                <w:kern w:val="0"/>
                <w:sz w:val="24"/>
                <w:szCs w:val="24"/>
                <w:highlight w:val="none"/>
                <w:lang w:val="en-US" w:eastAsia="zh-CN" w:bidi="ar"/>
              </w:rPr>
              <w:t>NO</w:t>
            </w:r>
            <w:r>
              <w:rPr>
                <w:rFonts w:hint="default" w:ascii="Times New Roman" w:hAnsi="Times New Roman" w:cs="Times New Roman"/>
                <w:color w:val="auto"/>
                <w:spacing w:val="-6"/>
                <w:kern w:val="0"/>
                <w:sz w:val="24"/>
                <w:szCs w:val="24"/>
                <w:highlight w:val="none"/>
                <w:vertAlign w:val="subscript"/>
                <w:lang w:val="en-US" w:eastAsia="zh-CN" w:bidi="ar"/>
              </w:rPr>
              <w:t>2</w:t>
            </w:r>
            <w:r>
              <w:rPr>
                <w:rFonts w:hint="eastAsia" w:ascii="Times New Roman" w:hAnsi="Times New Roman" w:eastAsia="宋体" w:cs="Times New Roman"/>
                <w:color w:val="auto"/>
                <w:spacing w:val="-6"/>
                <w:kern w:val="0"/>
                <w:sz w:val="24"/>
                <w:szCs w:val="24"/>
                <w:highlight w:val="none"/>
                <w:lang w:val="en-US" w:eastAsia="zh-CN" w:bidi="ar"/>
              </w:rPr>
              <w:t>、PM</w:t>
            </w:r>
            <w:r>
              <w:rPr>
                <w:rFonts w:hint="eastAsia" w:ascii="Times New Roman" w:hAnsi="Times New Roman" w:eastAsia="宋体" w:cs="Times New Roman"/>
                <w:color w:val="auto"/>
                <w:spacing w:val="-6"/>
                <w:kern w:val="0"/>
                <w:sz w:val="24"/>
                <w:szCs w:val="24"/>
                <w:highlight w:val="none"/>
                <w:vertAlign w:val="subscript"/>
                <w:lang w:val="en-US" w:eastAsia="zh-CN" w:bidi="ar"/>
              </w:rPr>
              <w:t>2.5</w:t>
            </w:r>
            <w:r>
              <w:rPr>
                <w:rFonts w:hint="default" w:ascii="Times New Roman" w:hAnsi="Times New Roman" w:eastAsia="宋体" w:cs="Times New Roman"/>
                <w:color w:val="auto"/>
                <w:spacing w:val="-6"/>
                <w:kern w:val="2"/>
                <w:sz w:val="24"/>
                <w:szCs w:val="24"/>
                <w:highlight w:val="none"/>
                <w:lang w:val="en-US" w:eastAsia="zh-CN" w:bidi="ar"/>
              </w:rPr>
              <w:t>年平均质量浓度</w:t>
            </w:r>
            <w:r>
              <w:rPr>
                <w:rFonts w:hint="default" w:ascii="Times New Roman" w:hAnsi="Times New Roman" w:eastAsia="宋体" w:cs="Times New Roman"/>
                <w:color w:val="auto"/>
                <w:spacing w:val="-6"/>
                <w:kern w:val="0"/>
                <w:sz w:val="24"/>
                <w:szCs w:val="24"/>
                <w:highlight w:val="none"/>
                <w:lang w:val="en-US" w:eastAsia="zh-CN" w:bidi="ar"/>
              </w:rPr>
              <w:t>、</w:t>
            </w:r>
            <w:r>
              <w:rPr>
                <w:rFonts w:hint="default" w:ascii="Times New Roman" w:hAnsi="Times New Roman" w:cs="Times New Roman"/>
                <w:color w:val="auto"/>
                <w:spacing w:val="-6"/>
                <w:kern w:val="0"/>
                <w:sz w:val="24"/>
                <w:szCs w:val="24"/>
                <w:highlight w:val="none"/>
                <w:lang w:val="en-US" w:eastAsia="zh-CN" w:bidi="ar"/>
              </w:rPr>
              <w:t>CO</w:t>
            </w:r>
            <w:r>
              <w:rPr>
                <w:rFonts w:hint="default" w:ascii="Times New Roman" w:hAnsi="Times New Roman" w:eastAsia="宋体" w:cs="Times New Roman"/>
                <w:color w:val="auto"/>
                <w:spacing w:val="-6"/>
                <w:kern w:val="2"/>
                <w:sz w:val="24"/>
                <w:szCs w:val="24"/>
                <w:highlight w:val="none"/>
                <w:lang w:val="en-US" w:eastAsia="zh-CN" w:bidi="ar"/>
              </w:rPr>
              <w:t>百分位数日平均</w:t>
            </w:r>
            <w:r>
              <w:rPr>
                <w:rFonts w:hint="default" w:ascii="Times New Roman" w:hAnsi="Times New Roman" w:eastAsia="宋体" w:cs="Times New Roman"/>
                <w:color w:val="auto"/>
                <w:spacing w:val="-6"/>
                <w:kern w:val="0"/>
                <w:sz w:val="24"/>
                <w:szCs w:val="24"/>
                <w:highlight w:val="none"/>
                <w:lang w:val="en-US" w:eastAsia="zh-CN" w:bidi="ar"/>
              </w:rPr>
              <w:t>、</w:t>
            </w:r>
            <w:r>
              <w:rPr>
                <w:rFonts w:hint="default" w:ascii="Times New Roman" w:hAnsi="Times New Roman" w:cs="Times New Roman"/>
                <w:color w:val="auto"/>
                <w:spacing w:val="-6"/>
                <w:kern w:val="0"/>
                <w:sz w:val="24"/>
                <w:szCs w:val="24"/>
                <w:highlight w:val="none"/>
                <w:lang w:val="en-US" w:eastAsia="zh-CN" w:bidi="ar"/>
              </w:rPr>
              <w:t>O</w:t>
            </w:r>
            <w:r>
              <w:rPr>
                <w:rFonts w:hint="default" w:ascii="Times New Roman" w:hAnsi="Times New Roman" w:cs="Times New Roman"/>
                <w:color w:val="auto"/>
                <w:spacing w:val="-6"/>
                <w:kern w:val="0"/>
                <w:sz w:val="24"/>
                <w:szCs w:val="24"/>
                <w:highlight w:val="none"/>
                <w:vertAlign w:val="subscript"/>
                <w:lang w:val="en-US" w:eastAsia="zh-CN" w:bidi="ar"/>
              </w:rPr>
              <w:t>3</w:t>
            </w:r>
            <w:r>
              <w:rPr>
                <w:rFonts w:hint="default" w:ascii="Times New Roman" w:hAnsi="Times New Roman" w:cs="Times New Roman"/>
                <w:color w:val="auto"/>
                <w:spacing w:val="-6"/>
                <w:kern w:val="2"/>
                <w:sz w:val="24"/>
                <w:szCs w:val="24"/>
                <w:highlight w:val="none"/>
                <w:lang w:val="en-US" w:eastAsia="zh-CN" w:bidi="ar"/>
              </w:rPr>
              <w:t>8h</w:t>
            </w:r>
            <w:r>
              <w:rPr>
                <w:rFonts w:hint="default" w:ascii="Times New Roman" w:hAnsi="Times New Roman" w:eastAsia="宋体" w:cs="Times New Roman"/>
                <w:color w:val="auto"/>
                <w:spacing w:val="-6"/>
                <w:kern w:val="2"/>
                <w:sz w:val="24"/>
                <w:szCs w:val="24"/>
                <w:highlight w:val="none"/>
                <w:lang w:val="en-US" w:eastAsia="zh-CN" w:bidi="ar"/>
              </w:rPr>
              <w:t>平均质量浓度</w:t>
            </w:r>
            <w:r>
              <w:rPr>
                <w:rFonts w:hint="default" w:ascii="Times New Roman" w:hAnsi="Times New Roman" w:eastAsia="宋体" w:cs="Times New Roman"/>
                <w:color w:val="auto"/>
                <w:spacing w:val="-6"/>
                <w:kern w:val="0"/>
                <w:sz w:val="24"/>
                <w:szCs w:val="24"/>
                <w:highlight w:val="none"/>
                <w:lang w:val="en-US" w:eastAsia="zh-CN" w:bidi="ar"/>
              </w:rPr>
              <w:t>均满足《环境空气质量标准》（</w:t>
            </w:r>
            <w:r>
              <w:rPr>
                <w:rFonts w:hint="default" w:ascii="Times New Roman" w:hAnsi="Times New Roman" w:cs="Times New Roman"/>
                <w:color w:val="auto"/>
                <w:spacing w:val="-6"/>
                <w:kern w:val="0"/>
                <w:sz w:val="24"/>
                <w:szCs w:val="24"/>
                <w:highlight w:val="none"/>
                <w:lang w:val="en-US" w:eastAsia="zh-CN" w:bidi="ar"/>
              </w:rPr>
              <w:t>GB3095-2012</w:t>
            </w:r>
            <w:r>
              <w:rPr>
                <w:rFonts w:hint="default" w:ascii="Times New Roman" w:hAnsi="Times New Roman" w:eastAsia="宋体" w:cs="Times New Roman"/>
                <w:color w:val="auto"/>
                <w:spacing w:val="-6"/>
                <w:kern w:val="0"/>
                <w:sz w:val="24"/>
                <w:szCs w:val="24"/>
                <w:highlight w:val="none"/>
                <w:lang w:val="en-US" w:eastAsia="zh-CN" w:bidi="ar"/>
              </w:rPr>
              <w:t>）的二级标准要求；</w:t>
            </w:r>
            <w:r>
              <w:rPr>
                <w:rFonts w:hint="default" w:ascii="Times New Roman" w:hAnsi="Times New Roman" w:cs="Times New Roman"/>
                <w:color w:val="auto"/>
                <w:spacing w:val="-6"/>
                <w:kern w:val="0"/>
                <w:sz w:val="24"/>
                <w:szCs w:val="24"/>
                <w:highlight w:val="none"/>
                <w:lang w:val="en-US" w:eastAsia="zh-CN" w:bidi="ar"/>
              </w:rPr>
              <w:t>PM</w:t>
            </w:r>
            <w:r>
              <w:rPr>
                <w:rFonts w:hint="default" w:ascii="Times New Roman" w:hAnsi="Times New Roman" w:cs="Times New Roman"/>
                <w:color w:val="auto"/>
                <w:spacing w:val="-6"/>
                <w:kern w:val="0"/>
                <w:sz w:val="24"/>
                <w:szCs w:val="24"/>
                <w:highlight w:val="none"/>
                <w:vertAlign w:val="subscript"/>
                <w:lang w:val="en-US" w:eastAsia="zh-CN" w:bidi="ar"/>
              </w:rPr>
              <w:t>10</w:t>
            </w:r>
            <w:r>
              <w:rPr>
                <w:rFonts w:hint="default" w:ascii="Times New Roman" w:hAnsi="Times New Roman" w:eastAsia="宋体" w:cs="Times New Roman"/>
                <w:color w:val="auto"/>
                <w:spacing w:val="-6"/>
                <w:kern w:val="2"/>
                <w:sz w:val="24"/>
                <w:szCs w:val="24"/>
                <w:highlight w:val="none"/>
                <w:lang w:val="en-US" w:eastAsia="zh-CN" w:bidi="ar"/>
              </w:rPr>
              <w:t>年平均质量浓度</w:t>
            </w:r>
            <w:r>
              <w:rPr>
                <w:rFonts w:hint="default" w:ascii="Times New Roman" w:hAnsi="Times New Roman" w:eastAsia="宋体" w:cs="Times New Roman"/>
                <w:color w:val="auto"/>
                <w:spacing w:val="-6"/>
                <w:kern w:val="0"/>
                <w:sz w:val="24"/>
                <w:szCs w:val="24"/>
                <w:highlight w:val="none"/>
                <w:lang w:val="en-US" w:eastAsia="zh-CN" w:bidi="ar"/>
              </w:rPr>
              <w:t>超过《环境空气质量标准》（</w:t>
            </w:r>
            <w:r>
              <w:rPr>
                <w:rFonts w:hint="default" w:ascii="Times New Roman" w:hAnsi="Times New Roman" w:cs="Times New Roman"/>
                <w:color w:val="auto"/>
                <w:spacing w:val="-6"/>
                <w:kern w:val="0"/>
                <w:sz w:val="24"/>
                <w:szCs w:val="24"/>
                <w:highlight w:val="none"/>
                <w:lang w:val="en-US" w:eastAsia="zh-CN" w:bidi="ar"/>
              </w:rPr>
              <w:t>GB3095-2012</w:t>
            </w:r>
            <w:r>
              <w:rPr>
                <w:rFonts w:hint="default" w:ascii="Times New Roman" w:hAnsi="Times New Roman" w:eastAsia="宋体" w:cs="Times New Roman"/>
                <w:color w:val="auto"/>
                <w:spacing w:val="-6"/>
                <w:kern w:val="0"/>
                <w:sz w:val="24"/>
                <w:szCs w:val="24"/>
                <w:highlight w:val="none"/>
                <w:lang w:val="en-US" w:eastAsia="zh-CN" w:bidi="ar"/>
              </w:rPr>
              <w:t>）的二级标准要求，本项目所在区域为环境空气质量不达标区。</w:t>
            </w:r>
          </w:p>
          <w:p w14:paraId="5D1CB4A0">
            <w:pPr>
              <w:keepNext w:val="0"/>
              <w:keepLines w:val="0"/>
              <w:pageBreakBefore w:val="0"/>
              <w:widowControl w:val="0"/>
              <w:wordWrap/>
              <w:topLinePunct w:val="0"/>
              <w:bidi w:val="0"/>
              <w:spacing w:line="360" w:lineRule="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3.</w:t>
            </w:r>
            <w:r>
              <w:rPr>
                <w:rFonts w:hint="default" w:ascii="Times New Roman" w:hAnsi="Times New Roman" w:eastAsia="宋体" w:cs="Times New Roman"/>
                <w:b/>
                <w:color w:val="auto"/>
                <w:sz w:val="24"/>
                <w:highlight w:val="none"/>
              </w:rPr>
              <w:t>声环境质量现状评价</w:t>
            </w:r>
          </w:p>
          <w:p w14:paraId="6B95188B">
            <w:pPr>
              <w:pStyle w:val="6"/>
              <w:keepNext w:val="0"/>
              <w:keepLines w:val="0"/>
              <w:pageBreakBefore w:val="0"/>
              <w:widowControl w:val="0"/>
              <w:wordWrap/>
              <w:topLinePunct w:val="0"/>
              <w:bidi w:val="0"/>
              <w:spacing w:line="360" w:lineRule="auto"/>
              <w:ind w:firstLine="480" w:firstLineChars="200"/>
              <w:rPr>
                <w:rFonts w:hint="default" w:ascii="Times New Roman" w:hAnsi="Times New Roman" w:eastAsia="宋体" w:cs="Times New Roman"/>
                <w:color w:val="auto"/>
                <w:kern w:val="2"/>
                <w:sz w:val="24"/>
                <w:szCs w:val="21"/>
                <w:highlight w:val="none"/>
                <w:lang w:val="en-US" w:eastAsia="zh-CN"/>
              </w:rPr>
            </w:pPr>
            <w:r>
              <w:rPr>
                <w:rFonts w:hint="default" w:ascii="Times New Roman" w:hAnsi="Times New Roman" w:eastAsia="宋体" w:cs="Times New Roman"/>
                <w:color w:val="auto"/>
                <w:kern w:val="2"/>
                <w:sz w:val="24"/>
                <w:szCs w:val="21"/>
                <w:highlight w:val="none"/>
                <w:lang w:val="en-US" w:eastAsia="zh-CN"/>
              </w:rPr>
              <w:t>本项目周边50m范围内不存在声环境保护目标，因此不进行声环境质量现状调查。</w:t>
            </w:r>
          </w:p>
          <w:p w14:paraId="3166EED1">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4.电磁</w:t>
            </w:r>
            <w:r>
              <w:rPr>
                <w:rFonts w:hint="default" w:ascii="Times New Roman" w:hAnsi="Times New Roman" w:eastAsia="宋体" w:cs="Times New Roman"/>
                <w:b/>
                <w:color w:val="auto"/>
                <w:sz w:val="24"/>
                <w:highlight w:val="none"/>
              </w:rPr>
              <w:t>环境质量现状评价</w:t>
            </w:r>
          </w:p>
          <w:p w14:paraId="10778E5B">
            <w:pPr>
              <w:keepNext w:val="0"/>
              <w:keepLines w:val="0"/>
              <w:pageBreakBefore w:val="0"/>
              <w:widowControl w:val="0"/>
              <w:wordWrap/>
              <w:topLinePunct w:val="0"/>
              <w:bidi w:val="0"/>
              <w:snapToGrid w:val="0"/>
              <w:spacing w:line="360" w:lineRule="auto"/>
              <w:ind w:firstLine="456" w:firstLineChars="200"/>
              <w:rPr>
                <w:rFonts w:hint="default" w:ascii="Times New Roman" w:hAnsi="Times New Roman" w:cs="Times New Roman"/>
                <w:color w:val="auto"/>
                <w:spacing w:val="-6"/>
                <w:highlight w:val="none"/>
                <w:lang w:val="en-US" w:eastAsia="zh-CN"/>
              </w:rPr>
            </w:pPr>
            <w:r>
              <w:rPr>
                <w:rFonts w:hint="default" w:ascii="Times New Roman" w:hAnsi="Times New Roman" w:eastAsia="宋体" w:cs="Times New Roman"/>
                <w:color w:val="auto"/>
                <w:spacing w:val="-6"/>
                <w:kern w:val="2"/>
                <w:sz w:val="24"/>
                <w:szCs w:val="21"/>
                <w:highlight w:val="none"/>
                <w:lang w:val="en-US" w:eastAsia="zh-CN"/>
              </w:rPr>
              <w:t>根据监测结果，区域工频电场强度、工频磁感应强度监测结果均满足《电磁环境控制限值》(GB8702-2014)中的(工频电场强度≤4000V/m；工频磁感应强度≤100μT)公众曝露控制限值</w:t>
            </w:r>
            <w:r>
              <w:rPr>
                <w:rFonts w:hint="default" w:ascii="Times New Roman" w:hAnsi="Times New Roman" w:eastAsia="宋体" w:cs="Times New Roman"/>
                <w:color w:val="auto"/>
                <w:spacing w:val="-6"/>
                <w:sz w:val="24"/>
                <w:highlight w:val="none"/>
                <w:lang w:eastAsia="zh-CN"/>
              </w:rPr>
              <w:t>，</w:t>
            </w:r>
            <w:r>
              <w:rPr>
                <w:rFonts w:hint="default" w:ascii="Times New Roman" w:hAnsi="Times New Roman" w:cs="Times New Roman"/>
                <w:color w:val="auto"/>
                <w:spacing w:val="-6"/>
                <w:sz w:val="24"/>
                <w:highlight w:val="none"/>
              </w:rPr>
              <w:t>具体数据详见</w:t>
            </w:r>
            <w:r>
              <w:rPr>
                <w:rFonts w:hint="default" w:ascii="Times New Roman" w:hAnsi="Times New Roman" w:cs="Times New Roman"/>
                <w:color w:val="auto"/>
                <w:spacing w:val="-6"/>
                <w:sz w:val="24"/>
                <w:highlight w:val="none"/>
                <w:lang w:eastAsia="zh-CN"/>
              </w:rPr>
              <w:t>“</w:t>
            </w:r>
            <w:r>
              <w:rPr>
                <w:rFonts w:hint="default" w:ascii="Times New Roman" w:hAnsi="Times New Roman" w:cs="Times New Roman"/>
                <w:color w:val="auto"/>
                <w:spacing w:val="-6"/>
                <w:sz w:val="24"/>
                <w:highlight w:val="none"/>
              </w:rPr>
              <w:t>电磁</w:t>
            </w:r>
            <w:r>
              <w:rPr>
                <w:rFonts w:hint="default" w:ascii="Times New Roman" w:hAnsi="Times New Roman" w:cs="Times New Roman"/>
                <w:color w:val="auto"/>
                <w:spacing w:val="-6"/>
                <w:sz w:val="24"/>
                <w:highlight w:val="none"/>
                <w:lang w:val="en-US" w:eastAsia="zh-CN"/>
              </w:rPr>
              <w:t>环境影响专题评价</w:t>
            </w:r>
            <w:r>
              <w:rPr>
                <w:rFonts w:hint="default" w:ascii="Times New Roman" w:hAnsi="Times New Roman" w:cs="Times New Roman"/>
                <w:color w:val="auto"/>
                <w:spacing w:val="-6"/>
                <w:sz w:val="24"/>
                <w:highlight w:val="none"/>
                <w:lang w:eastAsia="zh-CN"/>
              </w:rPr>
              <w:t>”</w:t>
            </w:r>
            <w:r>
              <w:rPr>
                <w:rFonts w:hint="default" w:ascii="Times New Roman" w:hAnsi="Times New Roman" w:cs="Times New Roman"/>
                <w:color w:val="auto"/>
                <w:spacing w:val="-6"/>
                <w:sz w:val="24"/>
                <w:highlight w:val="none"/>
              </w:rPr>
              <w:t>。</w:t>
            </w:r>
          </w:p>
          <w:p w14:paraId="5EF6ED62">
            <w:pPr>
              <w:keepNext w:val="0"/>
              <w:keepLines w:val="0"/>
              <w:pageBreakBefore w:val="0"/>
              <w:widowControl w:val="0"/>
              <w:wordWrap/>
              <w:topLinePunct w:val="0"/>
              <w:bidi w:val="0"/>
              <w:spacing w:line="360" w:lineRule="auto"/>
              <w:rPr>
                <w:rFonts w:hint="default" w:ascii="Times New Roman" w:hAnsi="Times New Roman" w:eastAsia="宋体" w:cs="Times New Roman"/>
                <w:b/>
                <w:color w:val="auto"/>
                <w:sz w:val="24"/>
                <w:highlight w:val="none"/>
                <w:lang w:val="en-US" w:eastAsia="zh-CN"/>
              </w:rPr>
            </w:pPr>
            <w:r>
              <w:rPr>
                <w:rFonts w:hint="default" w:ascii="Times New Roman" w:hAnsi="Times New Roman" w:eastAsia="宋体" w:cs="Times New Roman"/>
                <w:b/>
                <w:color w:val="auto"/>
                <w:sz w:val="24"/>
                <w:highlight w:val="none"/>
                <w:lang w:val="en-US" w:eastAsia="zh-CN"/>
              </w:rPr>
              <w:t>5.水环境质量现状评价</w:t>
            </w:r>
          </w:p>
          <w:p w14:paraId="79695639">
            <w:pPr>
              <w:pStyle w:val="6"/>
              <w:keepNext w:val="0"/>
              <w:keepLines w:val="0"/>
              <w:pageBreakBefore w:val="0"/>
              <w:widowControl w:val="0"/>
              <w:wordWrap/>
              <w:topLinePunct w:val="0"/>
              <w:bidi w:val="0"/>
              <w:spacing w:line="360" w:lineRule="auto"/>
              <w:ind w:firstLine="480" w:firstLineChars="200"/>
              <w:rPr>
                <w:rFonts w:hint="default" w:ascii="Times New Roman" w:hAnsi="Times New Roman" w:eastAsia="宋体" w:cs="Times New Roman"/>
                <w:color w:val="auto"/>
                <w:kern w:val="2"/>
                <w:sz w:val="24"/>
                <w:szCs w:val="21"/>
                <w:highlight w:val="none"/>
                <w:lang w:val="en-US" w:eastAsia="zh-CN"/>
              </w:rPr>
            </w:pPr>
            <w:r>
              <w:rPr>
                <w:rFonts w:hint="default" w:ascii="Times New Roman" w:hAnsi="Times New Roman" w:eastAsia="宋体" w:cs="Times New Roman"/>
                <w:color w:val="auto"/>
                <w:kern w:val="2"/>
                <w:sz w:val="24"/>
                <w:szCs w:val="21"/>
                <w:highlight w:val="none"/>
                <w:lang w:val="en-US" w:eastAsia="zh-CN"/>
              </w:rPr>
              <w:t>项目区</w:t>
            </w:r>
            <w:r>
              <w:rPr>
                <w:rFonts w:hint="eastAsia" w:eastAsia="宋体" w:cs="Times New Roman"/>
                <w:color w:val="auto"/>
                <w:kern w:val="2"/>
                <w:sz w:val="24"/>
                <w:szCs w:val="21"/>
                <w:highlight w:val="none"/>
                <w:lang w:val="en-US" w:eastAsia="zh-CN"/>
              </w:rPr>
              <w:t>周围</w:t>
            </w:r>
            <w:r>
              <w:rPr>
                <w:rFonts w:hint="default" w:ascii="Times New Roman" w:hAnsi="Times New Roman" w:eastAsia="宋体" w:cs="Times New Roman"/>
                <w:color w:val="auto"/>
                <w:kern w:val="2"/>
                <w:sz w:val="24"/>
                <w:szCs w:val="21"/>
                <w:highlight w:val="none"/>
                <w:lang w:val="en-US" w:eastAsia="zh-CN"/>
              </w:rPr>
              <w:t>无地表水。</w:t>
            </w:r>
          </w:p>
          <w:p w14:paraId="1AF713A1">
            <w:pPr>
              <w:pStyle w:val="6"/>
              <w:keepNext w:val="0"/>
              <w:keepLines w:val="0"/>
              <w:pageBreakBefore w:val="0"/>
              <w:widowControl w:val="0"/>
              <w:wordWrap/>
              <w:topLinePunct w:val="0"/>
              <w:bidi w:val="0"/>
              <w:spacing w:line="360" w:lineRule="auto"/>
              <w:ind w:firstLine="480" w:firstLineChars="200"/>
              <w:rPr>
                <w:rFonts w:hint="default" w:ascii="Times New Roman" w:hAnsi="Times New Roman" w:eastAsia="宋体" w:cs="Times New Roman"/>
                <w:color w:val="auto"/>
                <w:kern w:val="2"/>
                <w:sz w:val="24"/>
                <w:szCs w:val="21"/>
                <w:highlight w:val="none"/>
                <w:lang w:val="en-US" w:eastAsia="zh-CN"/>
              </w:rPr>
            </w:pPr>
            <w:r>
              <w:rPr>
                <w:rFonts w:hint="default" w:ascii="Times New Roman" w:hAnsi="Times New Roman" w:eastAsia="宋体" w:cs="Times New Roman"/>
                <w:color w:val="auto"/>
                <w:kern w:val="2"/>
                <w:sz w:val="24"/>
                <w:szCs w:val="21"/>
                <w:highlight w:val="none"/>
                <w:lang w:val="en-US" w:eastAsia="zh-CN"/>
              </w:rPr>
              <w:t>根据《环境影响评价技术导则</w:t>
            </w:r>
            <w:r>
              <w:rPr>
                <w:rFonts w:hint="eastAsia" w:eastAsia="宋体" w:cs="Times New Roman"/>
                <w:color w:val="auto"/>
                <w:kern w:val="2"/>
                <w:sz w:val="24"/>
                <w:szCs w:val="21"/>
                <w:highlight w:val="none"/>
                <w:lang w:val="en-US" w:eastAsia="zh-CN"/>
              </w:rPr>
              <w:t xml:space="preserve"> </w:t>
            </w:r>
            <w:r>
              <w:rPr>
                <w:rFonts w:hint="default" w:ascii="Times New Roman" w:hAnsi="Times New Roman" w:eastAsia="宋体" w:cs="Times New Roman"/>
                <w:color w:val="auto"/>
                <w:kern w:val="2"/>
                <w:sz w:val="24"/>
                <w:szCs w:val="21"/>
                <w:highlight w:val="none"/>
                <w:lang w:val="en-US" w:eastAsia="zh-CN"/>
              </w:rPr>
              <w:t>地下水环境》（HJ610-2016）附录A，</w:t>
            </w:r>
            <w:r>
              <w:rPr>
                <w:rFonts w:hint="eastAsia" w:eastAsia="宋体" w:cs="Times New Roman"/>
                <w:color w:val="auto"/>
                <w:kern w:val="2"/>
                <w:sz w:val="24"/>
                <w:szCs w:val="21"/>
                <w:highlight w:val="none"/>
                <w:lang w:val="en-US" w:eastAsia="zh-CN"/>
              </w:rPr>
              <w:t>本项目</w:t>
            </w:r>
            <w:r>
              <w:rPr>
                <w:rFonts w:hint="default" w:ascii="Times New Roman" w:hAnsi="Times New Roman" w:eastAsia="宋体" w:cs="Times New Roman"/>
                <w:color w:val="auto"/>
                <w:kern w:val="2"/>
                <w:sz w:val="24"/>
                <w:szCs w:val="21"/>
                <w:highlight w:val="none"/>
                <w:lang w:val="en-US" w:eastAsia="zh-CN"/>
              </w:rPr>
              <w:t>类别为Ⅳ类，不进行地下水评价。</w:t>
            </w:r>
          </w:p>
          <w:p w14:paraId="4458816F">
            <w:pPr>
              <w:keepNext w:val="0"/>
              <w:keepLines w:val="0"/>
              <w:pageBreakBefore w:val="0"/>
              <w:widowControl w:val="0"/>
              <w:wordWrap/>
              <w:topLinePunct w:val="0"/>
              <w:bidi w:val="0"/>
              <w:spacing w:line="360" w:lineRule="auto"/>
              <w:rPr>
                <w:rFonts w:hint="default" w:ascii="Times New Roman" w:hAnsi="Times New Roman" w:eastAsia="宋体" w:cs="Times New Roman"/>
                <w:b/>
                <w:color w:val="auto"/>
                <w:sz w:val="24"/>
                <w:highlight w:val="none"/>
                <w:lang w:val="en-US" w:eastAsia="zh-CN"/>
              </w:rPr>
            </w:pPr>
            <w:r>
              <w:rPr>
                <w:rFonts w:hint="default" w:ascii="Times New Roman" w:hAnsi="Times New Roman" w:eastAsia="宋体" w:cs="Times New Roman"/>
                <w:b/>
                <w:color w:val="auto"/>
                <w:sz w:val="24"/>
                <w:highlight w:val="none"/>
                <w:lang w:val="en-US" w:eastAsia="zh-CN"/>
              </w:rPr>
              <w:t>6.土壤环境质量现状评价</w:t>
            </w:r>
          </w:p>
          <w:p w14:paraId="2774A88D">
            <w:pPr>
              <w:pStyle w:val="6"/>
              <w:keepNext w:val="0"/>
              <w:keepLines w:val="0"/>
              <w:pageBreakBefore w:val="0"/>
              <w:widowControl w:val="0"/>
              <w:wordWrap/>
              <w:topLinePunct w:val="0"/>
              <w:bidi w:val="0"/>
              <w:spacing w:line="360" w:lineRule="auto"/>
              <w:ind w:firstLine="480" w:firstLineChars="200"/>
              <w:rPr>
                <w:rFonts w:hint="default" w:ascii="Times New Roman" w:hAnsi="Times New Roman" w:cs="Times New Roman"/>
                <w:color w:val="auto"/>
                <w:kern w:val="0"/>
                <w:szCs w:val="21"/>
                <w:highlight w:val="none"/>
              </w:rPr>
            </w:pPr>
            <w:r>
              <w:rPr>
                <w:rFonts w:hint="default" w:ascii="Times New Roman" w:hAnsi="Times New Roman" w:eastAsia="宋体" w:cs="Times New Roman"/>
                <w:color w:val="auto"/>
                <w:kern w:val="2"/>
                <w:sz w:val="24"/>
                <w:szCs w:val="21"/>
                <w:highlight w:val="none"/>
                <w:lang w:val="en-US" w:eastAsia="zh-CN"/>
              </w:rPr>
              <w:t>根据《环境影响评价技术导则</w:t>
            </w:r>
            <w:r>
              <w:rPr>
                <w:rFonts w:hint="eastAsia" w:eastAsia="宋体" w:cs="Times New Roman"/>
                <w:color w:val="auto"/>
                <w:kern w:val="2"/>
                <w:sz w:val="24"/>
                <w:szCs w:val="21"/>
                <w:highlight w:val="none"/>
                <w:lang w:val="en-US" w:eastAsia="zh-CN"/>
              </w:rPr>
              <w:t xml:space="preserve"> </w:t>
            </w:r>
            <w:r>
              <w:rPr>
                <w:rFonts w:hint="default" w:ascii="Times New Roman" w:hAnsi="Times New Roman" w:eastAsia="宋体" w:cs="Times New Roman"/>
                <w:color w:val="auto"/>
                <w:kern w:val="2"/>
                <w:sz w:val="24"/>
                <w:szCs w:val="21"/>
                <w:highlight w:val="none"/>
                <w:lang w:val="en-US" w:eastAsia="zh-CN"/>
              </w:rPr>
              <w:t>土壤环境（试行）》（HJ964-2018）附录A，</w:t>
            </w:r>
            <w:r>
              <w:rPr>
                <w:rFonts w:hint="eastAsia" w:eastAsia="宋体" w:cs="Times New Roman"/>
                <w:color w:val="auto"/>
                <w:kern w:val="2"/>
                <w:sz w:val="24"/>
                <w:szCs w:val="21"/>
                <w:highlight w:val="none"/>
                <w:lang w:val="en-US" w:eastAsia="zh-CN"/>
              </w:rPr>
              <w:t>本项目</w:t>
            </w:r>
            <w:r>
              <w:rPr>
                <w:rFonts w:hint="default" w:ascii="Times New Roman" w:hAnsi="Times New Roman" w:eastAsia="宋体" w:cs="Times New Roman"/>
                <w:color w:val="auto"/>
                <w:kern w:val="2"/>
                <w:sz w:val="24"/>
                <w:szCs w:val="21"/>
                <w:highlight w:val="none"/>
                <w:lang w:val="en-US" w:eastAsia="zh-CN"/>
              </w:rPr>
              <w:t>类别为Ⅳ类，不进行土壤环境现状评价。</w:t>
            </w:r>
          </w:p>
        </w:tc>
      </w:tr>
      <w:tr w14:paraId="7B15A5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4" w:type="pct"/>
            <w:noWrap w:val="0"/>
            <w:vAlign w:val="center"/>
          </w:tcPr>
          <w:p w14:paraId="491EE619">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bCs/>
                <w:color w:val="auto"/>
                <w:sz w:val="24"/>
                <w:szCs w:val="24"/>
                <w:highlight w:val="none"/>
              </w:rPr>
              <w:t>与项目有关的原有环境污染和生态破坏问题</w:t>
            </w:r>
          </w:p>
        </w:tc>
        <w:tc>
          <w:tcPr>
            <w:tcW w:w="4705" w:type="pct"/>
            <w:noWrap w:val="0"/>
            <w:vAlign w:val="center"/>
          </w:tcPr>
          <w:p w14:paraId="46816285">
            <w:pPr>
              <w:pStyle w:val="31"/>
              <w:keepNext w:val="0"/>
              <w:keepLines w:val="0"/>
              <w:pageBreakBefore w:val="0"/>
              <w:widowControl w:val="0"/>
              <w:numPr>
                <w:ilvl w:val="0"/>
                <w:numId w:val="0"/>
              </w:numPr>
              <w:wordWrap/>
              <w:topLinePunct w:val="0"/>
              <w:bidi w:val="0"/>
              <w:spacing w:line="360" w:lineRule="auto"/>
              <w:ind w:firstLine="456" w:firstLineChars="200"/>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color w:val="auto"/>
                <w:spacing w:val="-6"/>
                <w:kern w:val="2"/>
                <w:sz w:val="24"/>
                <w:szCs w:val="21"/>
                <w:highlight w:val="none"/>
                <w:lang w:val="en-US" w:eastAsia="zh-CN" w:bidi="ar-SA"/>
              </w:rPr>
              <w:t>本项目</w:t>
            </w:r>
            <w:r>
              <w:rPr>
                <w:rFonts w:hint="default" w:ascii="Times New Roman" w:hAnsi="Times New Roman" w:eastAsia="宋体" w:cs="Times New Roman"/>
                <w:color w:val="auto"/>
                <w:spacing w:val="-6"/>
                <w:kern w:val="2"/>
                <w:sz w:val="24"/>
                <w:szCs w:val="21"/>
                <w:highlight w:val="none"/>
                <w:lang w:val="en-US" w:eastAsia="zh-CN" w:bidi="ar-SA"/>
              </w:rPr>
              <w:t>为新建项目，不存</w:t>
            </w:r>
            <w:r>
              <w:rPr>
                <w:rFonts w:hint="eastAsia" w:ascii="Times New Roman" w:hAnsi="Times New Roman" w:eastAsia="宋体" w:cs="Times New Roman"/>
                <w:color w:val="auto"/>
                <w:spacing w:val="-6"/>
                <w:kern w:val="2"/>
                <w:sz w:val="24"/>
                <w:szCs w:val="21"/>
                <w:highlight w:val="none"/>
                <w:lang w:val="en-US" w:eastAsia="zh-CN" w:bidi="ar-SA"/>
              </w:rPr>
              <w:t>在</w:t>
            </w:r>
            <w:r>
              <w:rPr>
                <w:rFonts w:hint="default" w:ascii="Times New Roman" w:hAnsi="Times New Roman" w:eastAsia="宋体" w:cs="Times New Roman"/>
                <w:color w:val="auto"/>
                <w:spacing w:val="-6"/>
                <w:kern w:val="2"/>
                <w:sz w:val="24"/>
                <w:szCs w:val="21"/>
                <w:highlight w:val="none"/>
                <w:lang w:val="en-US" w:eastAsia="zh-CN" w:bidi="ar-SA"/>
              </w:rPr>
              <w:t>与项目有关的原有环境污染和生态破坏问题。</w:t>
            </w:r>
          </w:p>
        </w:tc>
      </w:tr>
      <w:tr w14:paraId="00B62A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90" w:hRule="atLeast"/>
          <w:jc w:val="center"/>
        </w:trPr>
        <w:tc>
          <w:tcPr>
            <w:tcW w:w="294" w:type="pct"/>
            <w:noWrap w:val="0"/>
            <w:vAlign w:val="center"/>
          </w:tcPr>
          <w:p w14:paraId="3152C594">
            <w:pPr>
              <w:keepNext w:val="0"/>
              <w:keepLines w:val="0"/>
              <w:pageBreakBefore w:val="0"/>
              <w:widowControl w:val="0"/>
              <w:wordWrap/>
              <w:topLinePunct w:val="0"/>
              <w:bidi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4"/>
                <w:szCs w:val="24"/>
                <w:highlight w:val="none"/>
              </w:rPr>
              <w:t>生态环境保护目标</w:t>
            </w:r>
          </w:p>
        </w:tc>
        <w:tc>
          <w:tcPr>
            <w:tcW w:w="4705" w:type="pct"/>
            <w:noWrap w:val="0"/>
            <w:vAlign w:val="center"/>
          </w:tcPr>
          <w:p w14:paraId="056C8747">
            <w:pPr>
              <w:keepNext w:val="0"/>
              <w:keepLines w:val="0"/>
              <w:pageBreakBefore w:val="0"/>
              <w:widowControl w:val="0"/>
              <w:wordWrap/>
              <w:topLinePunct w:val="0"/>
              <w:bidi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本项目生态环境保护目标见表3-4。</w:t>
            </w:r>
          </w:p>
          <w:p w14:paraId="0066B824">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3-4</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本项目生态环境</w:t>
            </w:r>
            <w:r>
              <w:rPr>
                <w:rFonts w:hint="default" w:ascii="Times New Roman" w:hAnsi="Times New Roman" w:eastAsia="宋体" w:cs="Times New Roman"/>
                <w:b/>
                <w:bCs/>
                <w:color w:val="auto"/>
                <w:sz w:val="21"/>
                <w:szCs w:val="21"/>
                <w:highlight w:val="none"/>
              </w:rPr>
              <w:t>保护目标一览表</w:t>
            </w:r>
          </w:p>
          <w:tbl>
            <w:tblPr>
              <w:tblStyle w:val="19"/>
              <w:tblW w:w="77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07"/>
              <w:gridCol w:w="404"/>
              <w:gridCol w:w="3042"/>
              <w:gridCol w:w="225"/>
              <w:gridCol w:w="630"/>
              <w:gridCol w:w="367"/>
              <w:gridCol w:w="589"/>
              <w:gridCol w:w="2134"/>
            </w:tblGrid>
            <w:tr w14:paraId="0CD53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7" w:hRule="atLeast"/>
              </w:trPr>
              <w:tc>
                <w:tcPr>
                  <w:tcW w:w="407" w:type="dxa"/>
                  <w:vMerge w:val="restart"/>
                  <w:noWrap w:val="0"/>
                  <w:vAlign w:val="center"/>
                </w:tcPr>
                <w:p w14:paraId="37675145">
                  <w:pPr>
                    <w:pStyle w:val="32"/>
                    <w:keepNext w:val="0"/>
                    <w:keepLines w:val="0"/>
                    <w:pageBreakBefore w:val="0"/>
                    <w:widowControl w:val="0"/>
                    <w:wordWrap/>
                    <w:topLinePunct w:val="0"/>
                    <w:bidi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环境要素</w:t>
                  </w:r>
                </w:p>
              </w:tc>
              <w:tc>
                <w:tcPr>
                  <w:tcW w:w="404" w:type="dxa"/>
                  <w:vMerge w:val="restart"/>
                  <w:noWrap w:val="0"/>
                  <w:vAlign w:val="center"/>
                </w:tcPr>
                <w:p w14:paraId="6C0DEBE1">
                  <w:pPr>
                    <w:pStyle w:val="32"/>
                    <w:keepNext w:val="0"/>
                    <w:keepLines w:val="0"/>
                    <w:pageBreakBefore w:val="0"/>
                    <w:widowControl w:val="0"/>
                    <w:wordWrap/>
                    <w:topLinePunct w:val="0"/>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评价等级</w:t>
                  </w:r>
                </w:p>
              </w:tc>
              <w:tc>
                <w:tcPr>
                  <w:tcW w:w="3042" w:type="dxa"/>
                  <w:vMerge w:val="restart"/>
                  <w:noWrap w:val="0"/>
                  <w:vAlign w:val="center"/>
                </w:tcPr>
                <w:p w14:paraId="7B868E12">
                  <w:pPr>
                    <w:pStyle w:val="32"/>
                    <w:keepNext w:val="0"/>
                    <w:keepLines w:val="0"/>
                    <w:pageBreakBefore w:val="0"/>
                    <w:widowControl w:val="0"/>
                    <w:wordWrap/>
                    <w:topLinePunct w:val="0"/>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评价范围</w:t>
                  </w:r>
                </w:p>
              </w:tc>
              <w:tc>
                <w:tcPr>
                  <w:tcW w:w="3945" w:type="dxa"/>
                  <w:gridSpan w:val="5"/>
                  <w:noWrap w:val="0"/>
                  <w:vAlign w:val="center"/>
                </w:tcPr>
                <w:p w14:paraId="67E9EE52">
                  <w:pPr>
                    <w:pStyle w:val="32"/>
                    <w:keepNext w:val="0"/>
                    <w:keepLines w:val="0"/>
                    <w:pageBreakBefore w:val="0"/>
                    <w:widowControl w:val="0"/>
                    <w:wordWrap/>
                    <w:topLinePunct w:val="0"/>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保护目标</w:t>
                  </w:r>
                </w:p>
              </w:tc>
            </w:tr>
            <w:tr w14:paraId="7153B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11" w:hRule="atLeast"/>
              </w:trPr>
              <w:tc>
                <w:tcPr>
                  <w:tcW w:w="407" w:type="dxa"/>
                  <w:vMerge w:val="continue"/>
                  <w:noWrap w:val="0"/>
                  <w:vAlign w:val="center"/>
                </w:tcPr>
                <w:p w14:paraId="7F10D947">
                  <w:pPr>
                    <w:pStyle w:val="32"/>
                    <w:keepNext w:val="0"/>
                    <w:keepLines w:val="0"/>
                    <w:pageBreakBefore w:val="0"/>
                    <w:widowControl w:val="0"/>
                    <w:wordWrap/>
                    <w:topLinePunct w:val="0"/>
                    <w:bidi w:val="0"/>
                    <w:rPr>
                      <w:rFonts w:hint="default" w:ascii="Times New Roman" w:hAnsi="Times New Roman" w:cs="Times New Roman"/>
                      <w:color w:val="auto"/>
                      <w:sz w:val="21"/>
                      <w:szCs w:val="21"/>
                      <w:highlight w:val="none"/>
                    </w:rPr>
                  </w:pPr>
                </w:p>
              </w:tc>
              <w:tc>
                <w:tcPr>
                  <w:tcW w:w="404" w:type="dxa"/>
                  <w:vMerge w:val="continue"/>
                  <w:noWrap w:val="0"/>
                  <w:vAlign w:val="center"/>
                </w:tcPr>
                <w:p w14:paraId="3B7EE2B4">
                  <w:pPr>
                    <w:pStyle w:val="32"/>
                    <w:keepNext w:val="0"/>
                    <w:keepLines w:val="0"/>
                    <w:pageBreakBefore w:val="0"/>
                    <w:widowControl w:val="0"/>
                    <w:wordWrap/>
                    <w:topLinePunct w:val="0"/>
                    <w:bidi w:val="0"/>
                    <w:rPr>
                      <w:rFonts w:hint="default" w:ascii="Times New Roman" w:hAnsi="Times New Roman" w:cs="Times New Roman"/>
                      <w:color w:val="auto"/>
                      <w:sz w:val="21"/>
                      <w:szCs w:val="21"/>
                      <w:highlight w:val="none"/>
                    </w:rPr>
                  </w:pPr>
                </w:p>
              </w:tc>
              <w:tc>
                <w:tcPr>
                  <w:tcW w:w="3042" w:type="dxa"/>
                  <w:vMerge w:val="continue"/>
                  <w:noWrap w:val="0"/>
                  <w:vAlign w:val="center"/>
                </w:tcPr>
                <w:p w14:paraId="7970CD45">
                  <w:pPr>
                    <w:pStyle w:val="32"/>
                    <w:keepNext w:val="0"/>
                    <w:keepLines w:val="0"/>
                    <w:pageBreakBefore w:val="0"/>
                    <w:widowControl w:val="0"/>
                    <w:wordWrap/>
                    <w:topLinePunct w:val="0"/>
                    <w:bidi w:val="0"/>
                    <w:rPr>
                      <w:rFonts w:hint="default" w:ascii="Times New Roman" w:hAnsi="Times New Roman" w:cs="Times New Roman"/>
                      <w:color w:val="auto"/>
                      <w:sz w:val="21"/>
                      <w:szCs w:val="21"/>
                      <w:highlight w:val="none"/>
                    </w:rPr>
                  </w:pPr>
                </w:p>
              </w:tc>
              <w:tc>
                <w:tcPr>
                  <w:tcW w:w="225" w:type="dxa"/>
                  <w:noWrap w:val="0"/>
                  <w:vAlign w:val="center"/>
                </w:tcPr>
                <w:p w14:paraId="471A98BC">
                  <w:pPr>
                    <w:pStyle w:val="32"/>
                    <w:keepNext w:val="0"/>
                    <w:keepLines w:val="0"/>
                    <w:pageBreakBefore w:val="0"/>
                    <w:widowControl w:val="0"/>
                    <w:wordWrap/>
                    <w:topLinePunct w:val="0"/>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名称</w:t>
                  </w:r>
                </w:p>
              </w:tc>
              <w:tc>
                <w:tcPr>
                  <w:tcW w:w="630" w:type="dxa"/>
                  <w:noWrap w:val="0"/>
                  <w:vAlign w:val="center"/>
                </w:tcPr>
                <w:p w14:paraId="784D3A17">
                  <w:pPr>
                    <w:pStyle w:val="32"/>
                    <w:keepNext w:val="0"/>
                    <w:keepLines w:val="0"/>
                    <w:pageBreakBefore w:val="0"/>
                    <w:widowControl w:val="0"/>
                    <w:wordWrap/>
                    <w:topLinePunct w:val="0"/>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方位及距离</w:t>
                  </w:r>
                </w:p>
              </w:tc>
              <w:tc>
                <w:tcPr>
                  <w:tcW w:w="367" w:type="dxa"/>
                  <w:noWrap w:val="0"/>
                  <w:vAlign w:val="center"/>
                </w:tcPr>
                <w:p w14:paraId="4F265C32">
                  <w:pPr>
                    <w:pStyle w:val="32"/>
                    <w:keepNext w:val="0"/>
                    <w:keepLines w:val="0"/>
                    <w:pageBreakBefore w:val="0"/>
                    <w:widowControl w:val="0"/>
                    <w:wordWrap/>
                    <w:topLinePunct w:val="0"/>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规模</w:t>
                  </w:r>
                </w:p>
              </w:tc>
              <w:tc>
                <w:tcPr>
                  <w:tcW w:w="589" w:type="dxa"/>
                  <w:noWrap w:val="0"/>
                  <w:vAlign w:val="center"/>
                </w:tcPr>
                <w:p w14:paraId="6A363B1F">
                  <w:pPr>
                    <w:pStyle w:val="32"/>
                    <w:keepNext w:val="0"/>
                    <w:keepLines w:val="0"/>
                    <w:pageBreakBefore w:val="0"/>
                    <w:widowControl w:val="0"/>
                    <w:wordWrap/>
                    <w:topLinePunct w:val="0"/>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保护对象</w:t>
                  </w:r>
                </w:p>
              </w:tc>
              <w:tc>
                <w:tcPr>
                  <w:tcW w:w="2134" w:type="dxa"/>
                  <w:noWrap w:val="0"/>
                  <w:vAlign w:val="center"/>
                </w:tcPr>
                <w:p w14:paraId="2D1626F2">
                  <w:pPr>
                    <w:pStyle w:val="32"/>
                    <w:keepNext w:val="0"/>
                    <w:keepLines w:val="0"/>
                    <w:pageBreakBefore w:val="0"/>
                    <w:widowControl w:val="0"/>
                    <w:wordWrap/>
                    <w:topLinePunct w:val="0"/>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功能分区</w:t>
                  </w:r>
                </w:p>
              </w:tc>
            </w:tr>
            <w:tr w14:paraId="0422B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64" w:hRule="atLeast"/>
              </w:trPr>
              <w:tc>
                <w:tcPr>
                  <w:tcW w:w="407" w:type="dxa"/>
                  <w:noWrap w:val="0"/>
                  <w:vAlign w:val="center"/>
                </w:tcPr>
                <w:p w14:paraId="096B9074">
                  <w:pPr>
                    <w:pStyle w:val="32"/>
                    <w:keepNext w:val="0"/>
                    <w:keepLines w:val="0"/>
                    <w:pageBreakBefore w:val="0"/>
                    <w:widowControl w:val="0"/>
                    <w:wordWrap/>
                    <w:topLinePunct w:val="0"/>
                    <w:bidi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大气环境</w:t>
                  </w:r>
                </w:p>
              </w:tc>
              <w:tc>
                <w:tcPr>
                  <w:tcW w:w="404" w:type="dxa"/>
                  <w:noWrap w:val="0"/>
                  <w:vAlign w:val="center"/>
                </w:tcPr>
                <w:p w14:paraId="0CA9B8BB">
                  <w:pPr>
                    <w:pStyle w:val="32"/>
                    <w:keepNext w:val="0"/>
                    <w:keepLines w:val="0"/>
                    <w:pageBreakBefore w:val="0"/>
                    <w:widowControl w:val="0"/>
                    <w:wordWrap/>
                    <w:topLinePunct w:val="0"/>
                    <w:bidi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042" w:type="dxa"/>
                  <w:noWrap w:val="0"/>
                  <w:vAlign w:val="center"/>
                </w:tcPr>
                <w:p w14:paraId="6E5EB9AE">
                  <w:pPr>
                    <w:pStyle w:val="32"/>
                    <w:keepNext w:val="0"/>
                    <w:keepLines w:val="0"/>
                    <w:pageBreakBefore w:val="0"/>
                    <w:widowControl w:val="0"/>
                    <w:wordWrap/>
                    <w:topLinePunct w:val="0"/>
                    <w:bidi w:val="0"/>
                    <w:rPr>
                      <w:rFonts w:hint="default" w:ascii="Times New Roman" w:hAnsi="Times New Roman" w:cs="Times New Roman"/>
                      <w:color w:val="auto"/>
                      <w:sz w:val="21"/>
                      <w:szCs w:val="21"/>
                      <w:highlight w:val="none"/>
                      <w:lang w:val="en-US"/>
                    </w:rPr>
                  </w:pPr>
                  <w:r>
                    <w:rPr>
                      <w:rFonts w:hint="default" w:ascii="Times New Roman" w:hAnsi="Times New Roman" w:cs="Times New Roman"/>
                      <w:bCs/>
                      <w:color w:val="auto"/>
                      <w:spacing w:val="8"/>
                      <w:sz w:val="21"/>
                      <w:szCs w:val="21"/>
                      <w:highlight w:val="none"/>
                      <w:lang w:val="en-US" w:eastAsia="zh-CN"/>
                    </w:rPr>
                    <w:t>根据《环境影响评价技术导则 大气环境》（HJ2.2-2018）不需设置大气环境影响评价范围</w:t>
                  </w:r>
                </w:p>
              </w:tc>
              <w:tc>
                <w:tcPr>
                  <w:tcW w:w="1811" w:type="dxa"/>
                  <w:gridSpan w:val="4"/>
                  <w:noWrap w:val="0"/>
                  <w:vAlign w:val="center"/>
                </w:tcPr>
                <w:p w14:paraId="5E943189">
                  <w:pPr>
                    <w:pStyle w:val="32"/>
                    <w:keepNext w:val="0"/>
                    <w:keepLines w:val="0"/>
                    <w:pageBreakBefore w:val="0"/>
                    <w:widowControl w:val="0"/>
                    <w:wordWrap/>
                    <w:topLinePunct w:val="0"/>
                    <w:bidi w:val="0"/>
                    <w:ind w:firstLine="0" w:firstLineChars="0"/>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无</w:t>
                  </w:r>
                </w:p>
              </w:tc>
              <w:tc>
                <w:tcPr>
                  <w:tcW w:w="2134" w:type="dxa"/>
                  <w:noWrap w:val="0"/>
                  <w:vAlign w:val="center"/>
                </w:tcPr>
                <w:p w14:paraId="4654DFAD">
                  <w:pPr>
                    <w:pStyle w:val="32"/>
                    <w:keepNext w:val="0"/>
                    <w:keepLines w:val="0"/>
                    <w:pageBreakBefore w:val="0"/>
                    <w:widowControl w:val="0"/>
                    <w:wordWrap/>
                    <w:topLinePunct w:val="0"/>
                    <w:bidi w:val="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二类功能区，</w:t>
                  </w:r>
                  <w:r>
                    <w:rPr>
                      <w:rFonts w:hint="default" w:ascii="Times New Roman" w:hAnsi="Times New Roman" w:cs="Times New Roman"/>
                      <w:color w:val="auto"/>
                      <w:sz w:val="21"/>
                      <w:szCs w:val="21"/>
                      <w:highlight w:val="none"/>
                    </w:rPr>
                    <w:t>《环境空气质量标准》（GB3095-2012）二级标准</w:t>
                  </w:r>
                </w:p>
              </w:tc>
            </w:tr>
            <w:tr w14:paraId="1D695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407" w:type="dxa"/>
                  <w:noWrap w:val="0"/>
                  <w:vAlign w:val="center"/>
                </w:tcPr>
                <w:p w14:paraId="2BB7BD81">
                  <w:pPr>
                    <w:pStyle w:val="32"/>
                    <w:keepNext w:val="0"/>
                    <w:keepLines w:val="0"/>
                    <w:pageBreakBefore w:val="0"/>
                    <w:widowControl w:val="0"/>
                    <w:wordWrap/>
                    <w:topLinePunct w:val="0"/>
                    <w:bidi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声环境</w:t>
                  </w:r>
                </w:p>
              </w:tc>
              <w:tc>
                <w:tcPr>
                  <w:tcW w:w="404" w:type="dxa"/>
                  <w:noWrap w:val="0"/>
                  <w:vAlign w:val="center"/>
                </w:tcPr>
                <w:p w14:paraId="7D2FB925">
                  <w:pPr>
                    <w:pStyle w:val="32"/>
                    <w:keepNext w:val="0"/>
                    <w:keepLines w:val="0"/>
                    <w:pageBreakBefore w:val="0"/>
                    <w:widowControl w:val="0"/>
                    <w:wordWrap/>
                    <w:topLinePunct w:val="0"/>
                    <w:bidi w:val="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三级</w:t>
                  </w:r>
                </w:p>
              </w:tc>
              <w:tc>
                <w:tcPr>
                  <w:tcW w:w="3042" w:type="dxa"/>
                  <w:noWrap w:val="0"/>
                  <w:vAlign w:val="center"/>
                </w:tcPr>
                <w:p w14:paraId="47082CB7">
                  <w:pPr>
                    <w:pStyle w:val="32"/>
                    <w:keepNext w:val="0"/>
                    <w:keepLines w:val="0"/>
                    <w:pageBreakBefore w:val="0"/>
                    <w:widowControl w:val="0"/>
                    <w:wordWrap/>
                    <w:topLinePunct w:val="0"/>
                    <w:bidi w:val="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厂界外200m范围内</w:t>
                  </w:r>
                </w:p>
              </w:tc>
              <w:tc>
                <w:tcPr>
                  <w:tcW w:w="1811" w:type="dxa"/>
                  <w:gridSpan w:val="4"/>
                  <w:noWrap w:val="0"/>
                  <w:vAlign w:val="center"/>
                </w:tcPr>
                <w:p w14:paraId="2FEA8D8D">
                  <w:pPr>
                    <w:pStyle w:val="32"/>
                    <w:keepNext w:val="0"/>
                    <w:keepLines w:val="0"/>
                    <w:pageBreakBefore w:val="0"/>
                    <w:widowControl w:val="0"/>
                    <w:wordWrap/>
                    <w:topLinePunct w:val="0"/>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无</w:t>
                  </w:r>
                </w:p>
              </w:tc>
              <w:tc>
                <w:tcPr>
                  <w:tcW w:w="2134" w:type="dxa"/>
                  <w:noWrap w:val="0"/>
                  <w:vAlign w:val="center"/>
                </w:tcPr>
                <w:p w14:paraId="745C3132">
                  <w:pPr>
                    <w:pStyle w:val="32"/>
                    <w:keepNext w:val="0"/>
                    <w:keepLines w:val="0"/>
                    <w:pageBreakBefore w:val="0"/>
                    <w:widowControl w:val="0"/>
                    <w:wordWrap/>
                    <w:topLinePunct w:val="0"/>
                    <w:bidi w:val="0"/>
                    <w:jc w:val="both"/>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类区，</w:t>
                  </w:r>
                  <w:r>
                    <w:rPr>
                      <w:rFonts w:hint="default" w:ascii="Times New Roman" w:hAnsi="Times New Roman" w:cs="Times New Roman"/>
                      <w:color w:val="auto"/>
                      <w:sz w:val="21"/>
                      <w:szCs w:val="21"/>
                      <w:highlight w:val="none"/>
                    </w:rPr>
                    <w:t>《声环境质量标准》（GB3096-2008）中</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类标准</w:t>
                  </w:r>
                </w:p>
              </w:tc>
            </w:tr>
            <w:tr w14:paraId="789BC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407" w:type="dxa"/>
                  <w:noWrap w:val="0"/>
                  <w:vAlign w:val="center"/>
                </w:tcPr>
                <w:p w14:paraId="03F07F2D">
                  <w:pPr>
                    <w:pStyle w:val="32"/>
                    <w:keepNext w:val="0"/>
                    <w:keepLines w:val="0"/>
                    <w:pageBreakBefore w:val="0"/>
                    <w:widowControl w:val="0"/>
                    <w:wordWrap/>
                    <w:topLinePunct w:val="0"/>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生态</w:t>
                  </w:r>
                </w:p>
              </w:tc>
              <w:tc>
                <w:tcPr>
                  <w:tcW w:w="404" w:type="dxa"/>
                  <w:noWrap w:val="0"/>
                  <w:vAlign w:val="center"/>
                </w:tcPr>
                <w:p w14:paraId="78A8CB1F">
                  <w:pPr>
                    <w:pStyle w:val="32"/>
                    <w:keepNext w:val="0"/>
                    <w:keepLines w:val="0"/>
                    <w:pageBreakBefore w:val="0"/>
                    <w:widowControl w:val="0"/>
                    <w:wordWrap/>
                    <w:topLinePunct w:val="0"/>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三级</w:t>
                  </w:r>
                </w:p>
              </w:tc>
              <w:tc>
                <w:tcPr>
                  <w:tcW w:w="3042" w:type="dxa"/>
                  <w:noWrap w:val="0"/>
                  <w:vAlign w:val="center"/>
                </w:tcPr>
                <w:p w14:paraId="27864CCC">
                  <w:pPr>
                    <w:pStyle w:val="32"/>
                    <w:keepNext w:val="0"/>
                    <w:keepLines w:val="0"/>
                    <w:pageBreakBefore w:val="0"/>
                    <w:widowControl w:val="0"/>
                    <w:wordWrap/>
                    <w:topLinePunct w:val="0"/>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占地范围及占地范围外50m范围</w:t>
                  </w:r>
                </w:p>
              </w:tc>
              <w:tc>
                <w:tcPr>
                  <w:tcW w:w="1811" w:type="dxa"/>
                  <w:gridSpan w:val="4"/>
                  <w:noWrap w:val="0"/>
                  <w:vAlign w:val="center"/>
                </w:tcPr>
                <w:p w14:paraId="681D3299">
                  <w:pPr>
                    <w:pStyle w:val="32"/>
                    <w:keepNext w:val="0"/>
                    <w:keepLines w:val="0"/>
                    <w:pageBreakBefore w:val="0"/>
                    <w:widowControl w:val="0"/>
                    <w:wordWrap/>
                    <w:topLinePunct w:val="0"/>
                    <w:bidi w:val="0"/>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评价范围内动植物</w:t>
                  </w:r>
                  <w:r>
                    <w:rPr>
                      <w:rFonts w:hint="default" w:ascii="Times New Roman" w:hAnsi="Times New Roman" w:eastAsia="宋体" w:cs="Times New Roman"/>
                      <w:color w:val="auto"/>
                      <w:sz w:val="21"/>
                      <w:szCs w:val="21"/>
                      <w:highlight w:val="none"/>
                      <w:lang w:val="en-US" w:eastAsia="zh-CN"/>
                    </w:rPr>
                    <w:t>资源</w:t>
                  </w:r>
                </w:p>
              </w:tc>
              <w:tc>
                <w:tcPr>
                  <w:tcW w:w="2134" w:type="dxa"/>
                  <w:noWrap w:val="0"/>
                  <w:vAlign w:val="center"/>
                </w:tcPr>
                <w:p w14:paraId="5CFFBE48">
                  <w:pPr>
                    <w:pStyle w:val="32"/>
                    <w:keepNext w:val="0"/>
                    <w:keepLines w:val="0"/>
                    <w:pageBreakBefore w:val="0"/>
                    <w:widowControl w:val="0"/>
                    <w:wordWrap/>
                    <w:topLinePunct w:val="0"/>
                    <w:bidi w:val="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72A2D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50" w:hRule="atLeast"/>
              </w:trPr>
              <w:tc>
                <w:tcPr>
                  <w:tcW w:w="407" w:type="dxa"/>
                  <w:noWrap w:val="0"/>
                  <w:vAlign w:val="center"/>
                </w:tcPr>
                <w:p w14:paraId="5DAFA16C">
                  <w:pPr>
                    <w:pStyle w:val="32"/>
                    <w:keepNext w:val="0"/>
                    <w:keepLines w:val="0"/>
                    <w:pageBreakBefore w:val="0"/>
                    <w:widowControl w:val="0"/>
                    <w:wordWrap/>
                    <w:topLinePunct w:val="0"/>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土壤环境</w:t>
                  </w:r>
                </w:p>
              </w:tc>
              <w:tc>
                <w:tcPr>
                  <w:tcW w:w="404" w:type="dxa"/>
                  <w:noWrap w:val="0"/>
                  <w:vAlign w:val="center"/>
                </w:tcPr>
                <w:p w14:paraId="07DC2B6E">
                  <w:pPr>
                    <w:pStyle w:val="32"/>
                    <w:keepNext w:val="0"/>
                    <w:keepLines w:val="0"/>
                    <w:pageBreakBefore w:val="0"/>
                    <w:widowControl w:val="0"/>
                    <w:wordWrap/>
                    <w:topLinePunct w:val="0"/>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042" w:type="dxa"/>
                  <w:noWrap w:val="0"/>
                  <w:vAlign w:val="center"/>
                </w:tcPr>
                <w:p w14:paraId="45F11582">
                  <w:pPr>
                    <w:pStyle w:val="32"/>
                    <w:keepNext w:val="0"/>
                    <w:keepLines w:val="0"/>
                    <w:pageBreakBefore w:val="0"/>
                    <w:widowControl w:val="0"/>
                    <w:wordWrap/>
                    <w:topLinePunct w:val="0"/>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根据《环境影响评价技术导则 土壤环境（试行）》（HJ964-2018）附录A中判定本项目为Ⅳ类项目，可不开展土壤环境影响评价</w:t>
                  </w:r>
                </w:p>
              </w:tc>
              <w:tc>
                <w:tcPr>
                  <w:tcW w:w="1811" w:type="dxa"/>
                  <w:gridSpan w:val="4"/>
                  <w:noWrap w:val="0"/>
                  <w:vAlign w:val="center"/>
                </w:tcPr>
                <w:p w14:paraId="47C7D153">
                  <w:pPr>
                    <w:pStyle w:val="32"/>
                    <w:keepNext w:val="0"/>
                    <w:keepLines w:val="0"/>
                    <w:pageBreakBefore w:val="0"/>
                    <w:widowControl w:val="0"/>
                    <w:wordWrap/>
                    <w:topLinePunct w:val="0"/>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评价范围内</w:t>
                  </w:r>
                  <w:r>
                    <w:rPr>
                      <w:rFonts w:hint="default" w:ascii="Times New Roman" w:hAnsi="Times New Roman" w:eastAsia="宋体" w:cs="Times New Roman"/>
                      <w:color w:val="auto"/>
                      <w:sz w:val="21"/>
                      <w:szCs w:val="21"/>
                      <w:highlight w:val="none"/>
                      <w:lang w:val="en-US" w:eastAsia="zh-CN"/>
                    </w:rPr>
                    <w:t>土壤环境</w:t>
                  </w:r>
                </w:p>
              </w:tc>
              <w:tc>
                <w:tcPr>
                  <w:tcW w:w="2134" w:type="dxa"/>
                  <w:noWrap w:val="0"/>
                  <w:vAlign w:val="center"/>
                </w:tcPr>
                <w:p w14:paraId="1DFF681A">
                  <w:pPr>
                    <w:pStyle w:val="32"/>
                    <w:keepNext w:val="0"/>
                    <w:keepLines w:val="0"/>
                    <w:pageBreakBefore w:val="0"/>
                    <w:widowControl w:val="0"/>
                    <w:wordWrap/>
                    <w:topLinePunct w:val="0"/>
                    <w:bidi w:val="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《土壤环境质量 建设用地土壤污染风险管控标准（试行）》（GB36600-2018）第二类用地筛选值</w:t>
                  </w:r>
                </w:p>
              </w:tc>
            </w:tr>
            <w:tr w14:paraId="6BD7B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407" w:type="dxa"/>
                  <w:noWrap w:val="0"/>
                  <w:vAlign w:val="center"/>
                </w:tcPr>
                <w:p w14:paraId="6F329665">
                  <w:pPr>
                    <w:pStyle w:val="32"/>
                    <w:keepNext w:val="0"/>
                    <w:keepLines w:val="0"/>
                    <w:pageBreakBefore w:val="0"/>
                    <w:widowControl w:val="0"/>
                    <w:wordWrap/>
                    <w:topLinePunct w:val="0"/>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地下水环境</w:t>
                  </w:r>
                </w:p>
              </w:tc>
              <w:tc>
                <w:tcPr>
                  <w:tcW w:w="404" w:type="dxa"/>
                  <w:noWrap w:val="0"/>
                  <w:vAlign w:val="center"/>
                </w:tcPr>
                <w:p w14:paraId="4BDE0B78">
                  <w:pPr>
                    <w:pStyle w:val="32"/>
                    <w:keepNext w:val="0"/>
                    <w:keepLines w:val="0"/>
                    <w:pageBreakBefore w:val="0"/>
                    <w:widowControl w:val="0"/>
                    <w:wordWrap/>
                    <w:topLinePunct w:val="0"/>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042" w:type="dxa"/>
                  <w:noWrap w:val="0"/>
                  <w:vAlign w:val="center"/>
                </w:tcPr>
                <w:p w14:paraId="04810162">
                  <w:pPr>
                    <w:pStyle w:val="32"/>
                    <w:keepNext w:val="0"/>
                    <w:keepLines w:val="0"/>
                    <w:pageBreakBefore w:val="0"/>
                    <w:widowControl w:val="0"/>
                    <w:wordWrap/>
                    <w:topLinePunct w:val="0"/>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根据《环境影响评价技术导则 地下水环境》（HJ610-2016）</w:t>
                  </w:r>
                  <w:r>
                    <w:rPr>
                      <w:rFonts w:hint="default" w:ascii="Times New Roman" w:hAnsi="Times New Roman" w:cs="Times New Roman"/>
                      <w:color w:val="auto"/>
                      <w:sz w:val="21"/>
                      <w:szCs w:val="21"/>
                      <w:highlight w:val="none"/>
                    </w:rPr>
                    <w:t>Ⅳ类建设项目</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不开展地下水环境影响评价</w:t>
                  </w:r>
                </w:p>
              </w:tc>
              <w:tc>
                <w:tcPr>
                  <w:tcW w:w="1811" w:type="dxa"/>
                  <w:gridSpan w:val="4"/>
                  <w:noWrap w:val="0"/>
                  <w:vAlign w:val="center"/>
                </w:tcPr>
                <w:p w14:paraId="0A87FBC5">
                  <w:pPr>
                    <w:pStyle w:val="32"/>
                    <w:keepNext w:val="0"/>
                    <w:keepLines w:val="0"/>
                    <w:pageBreakBefore w:val="0"/>
                    <w:widowControl w:val="0"/>
                    <w:wordWrap/>
                    <w:topLinePunct w:val="0"/>
                    <w:bidi w:val="0"/>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区域地下水</w:t>
                  </w:r>
                </w:p>
              </w:tc>
              <w:tc>
                <w:tcPr>
                  <w:tcW w:w="2134" w:type="dxa"/>
                  <w:noWrap w:val="0"/>
                  <w:vAlign w:val="center"/>
                </w:tcPr>
                <w:p w14:paraId="4C876ECA">
                  <w:pPr>
                    <w:pStyle w:val="32"/>
                    <w:keepNext w:val="0"/>
                    <w:keepLines w:val="0"/>
                    <w:pageBreakBefore w:val="0"/>
                    <w:widowControl w:val="0"/>
                    <w:wordWrap/>
                    <w:topLinePunct w:val="0"/>
                    <w:bidi w:val="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《地下水质量标准》（GB/T14848-2017）中的Ⅲ类标准</w:t>
                  </w:r>
                </w:p>
              </w:tc>
            </w:tr>
            <w:tr w14:paraId="15041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407" w:type="dxa"/>
                  <w:noWrap w:val="0"/>
                  <w:vAlign w:val="center"/>
                </w:tcPr>
                <w:p w14:paraId="30D835BA">
                  <w:pPr>
                    <w:pStyle w:val="32"/>
                    <w:keepNext w:val="0"/>
                    <w:keepLines w:val="0"/>
                    <w:pageBreakBefore w:val="0"/>
                    <w:widowControl w:val="0"/>
                    <w:wordWrap/>
                    <w:topLinePunct w:val="0"/>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电磁环境</w:t>
                  </w:r>
                </w:p>
              </w:tc>
              <w:tc>
                <w:tcPr>
                  <w:tcW w:w="404" w:type="dxa"/>
                  <w:noWrap w:val="0"/>
                  <w:vAlign w:val="center"/>
                </w:tcPr>
                <w:p w14:paraId="78B2C72D">
                  <w:pPr>
                    <w:pStyle w:val="32"/>
                    <w:keepNext w:val="0"/>
                    <w:keepLines w:val="0"/>
                    <w:pageBreakBefore w:val="0"/>
                    <w:widowControl w:val="0"/>
                    <w:wordWrap/>
                    <w:topLinePunct w:val="0"/>
                    <w:bidi w:val="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二级</w:t>
                  </w:r>
                </w:p>
              </w:tc>
              <w:tc>
                <w:tcPr>
                  <w:tcW w:w="3042" w:type="dxa"/>
                  <w:noWrap w:val="0"/>
                  <w:vAlign w:val="center"/>
                </w:tcPr>
                <w:p w14:paraId="561D9CD3">
                  <w:pPr>
                    <w:pStyle w:val="32"/>
                    <w:keepNext w:val="0"/>
                    <w:keepLines w:val="0"/>
                    <w:pageBreakBefore w:val="0"/>
                    <w:widowControl w:val="0"/>
                    <w:wordWrap/>
                    <w:topLinePunct w:val="0"/>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220kV升压站评价范围：</w:t>
                  </w:r>
                </w:p>
                <w:p w14:paraId="0BB6B5EA">
                  <w:pPr>
                    <w:pStyle w:val="32"/>
                    <w:keepNext w:val="0"/>
                    <w:keepLines w:val="0"/>
                    <w:pageBreakBefore w:val="0"/>
                    <w:widowControl w:val="0"/>
                    <w:wordWrap/>
                    <w:topLinePunct w:val="0"/>
                    <w:bidi w:val="0"/>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站界外40m</w:t>
                  </w:r>
                </w:p>
              </w:tc>
              <w:tc>
                <w:tcPr>
                  <w:tcW w:w="1811" w:type="dxa"/>
                  <w:gridSpan w:val="4"/>
                  <w:noWrap w:val="0"/>
                  <w:vAlign w:val="center"/>
                </w:tcPr>
                <w:p w14:paraId="3EFE96D1">
                  <w:pPr>
                    <w:pStyle w:val="32"/>
                    <w:keepNext w:val="0"/>
                    <w:keepLines w:val="0"/>
                    <w:pageBreakBefore w:val="0"/>
                    <w:widowControl w:val="0"/>
                    <w:wordWrap/>
                    <w:topLinePunct w:val="0"/>
                    <w:bidi w:val="0"/>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无</w:t>
                  </w:r>
                </w:p>
              </w:tc>
              <w:tc>
                <w:tcPr>
                  <w:tcW w:w="2134" w:type="dxa"/>
                  <w:noWrap w:val="0"/>
                  <w:vAlign w:val="center"/>
                </w:tcPr>
                <w:p w14:paraId="44CF4CBA">
                  <w:pPr>
                    <w:pStyle w:val="32"/>
                    <w:keepNext w:val="0"/>
                    <w:keepLines w:val="0"/>
                    <w:pageBreakBefore w:val="0"/>
                    <w:widowControl w:val="0"/>
                    <w:wordWrap/>
                    <w:topLinePunct w:val="0"/>
                    <w:bidi w:val="0"/>
                    <w:jc w:val="both"/>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《电磁环境控制限值》(GB8702-2014)</w:t>
                  </w:r>
                </w:p>
              </w:tc>
            </w:tr>
          </w:tbl>
          <w:p w14:paraId="20E727A4">
            <w:pPr>
              <w:pStyle w:val="10"/>
              <w:keepNext w:val="0"/>
              <w:keepLines w:val="0"/>
              <w:pageBreakBefore w:val="0"/>
              <w:widowControl w:val="0"/>
              <w:wordWrap/>
              <w:topLinePunct w:val="0"/>
              <w:bidi w:val="0"/>
              <w:rPr>
                <w:rFonts w:hint="default" w:ascii="Times New Roman" w:hAnsi="Times New Roman" w:eastAsia="宋体" w:cs="Times New Roman"/>
                <w:bCs/>
                <w:color w:val="auto"/>
                <w:spacing w:val="8"/>
                <w:sz w:val="24"/>
                <w:highlight w:val="none"/>
                <w:lang w:val="en-US" w:eastAsia="zh-CN"/>
              </w:rPr>
            </w:pPr>
          </w:p>
          <w:p w14:paraId="4C030482">
            <w:pPr>
              <w:keepNext w:val="0"/>
              <w:keepLines w:val="0"/>
              <w:pageBreakBefore w:val="0"/>
              <w:widowControl w:val="0"/>
              <w:wordWrap/>
              <w:topLinePunct w:val="0"/>
              <w:bidi w:val="0"/>
              <w:adjustRightInd w:val="0"/>
              <w:snapToGrid w:val="0"/>
              <w:rPr>
                <w:rFonts w:hint="default" w:ascii="Times New Roman" w:hAnsi="Times New Roman" w:eastAsia="宋体" w:cs="Times New Roman"/>
                <w:color w:val="auto"/>
                <w:kern w:val="0"/>
                <w:szCs w:val="21"/>
                <w:highlight w:val="none"/>
                <w:lang w:val="en-US" w:eastAsia="zh-CN"/>
              </w:rPr>
            </w:pPr>
          </w:p>
        </w:tc>
      </w:tr>
      <w:tr w14:paraId="5163FE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03" w:hRule="atLeast"/>
          <w:jc w:val="center"/>
        </w:trPr>
        <w:tc>
          <w:tcPr>
            <w:tcW w:w="294" w:type="pct"/>
            <w:noWrap w:val="0"/>
            <w:vAlign w:val="center"/>
          </w:tcPr>
          <w:p w14:paraId="42D18826">
            <w:pPr>
              <w:keepNext w:val="0"/>
              <w:keepLines w:val="0"/>
              <w:pageBreakBefore w:val="0"/>
              <w:widowControl w:val="0"/>
              <w:wordWrap/>
              <w:topLinePunct w:val="0"/>
              <w:bidi w:val="0"/>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评价</w:t>
            </w:r>
          </w:p>
          <w:p w14:paraId="3B674251">
            <w:pPr>
              <w:keepNext w:val="0"/>
              <w:keepLines w:val="0"/>
              <w:pageBreakBefore w:val="0"/>
              <w:widowControl w:val="0"/>
              <w:wordWrap/>
              <w:topLinePunct w:val="0"/>
              <w:bidi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4"/>
                <w:szCs w:val="24"/>
                <w:highlight w:val="none"/>
              </w:rPr>
              <w:t>标准</w:t>
            </w:r>
          </w:p>
        </w:tc>
        <w:tc>
          <w:tcPr>
            <w:tcW w:w="4705" w:type="pct"/>
            <w:noWrap w:val="0"/>
            <w:vAlign w:val="center"/>
          </w:tcPr>
          <w:p w14:paraId="5A05ABAD">
            <w:pPr>
              <w:keepNext w:val="0"/>
              <w:keepLines w:val="0"/>
              <w:pageBreakBefore w:val="0"/>
              <w:widowControl w:val="0"/>
              <w:wordWrap/>
              <w:topLinePunct w:val="0"/>
              <w:bidi w:val="0"/>
              <w:adjustRightInd w:val="0"/>
              <w:snapToGrid w:val="0"/>
              <w:spacing w:line="360" w:lineRule="auto"/>
              <w:rPr>
                <w:rFonts w:hint="default" w:ascii="Times New Roman" w:hAnsi="Times New Roman" w:eastAsia="宋体" w:cs="Times New Roman"/>
                <w:b/>
                <w:bCs w:val="0"/>
                <w:color w:val="auto"/>
                <w:spacing w:val="8"/>
                <w:sz w:val="24"/>
                <w:highlight w:val="none"/>
              </w:rPr>
            </w:pPr>
            <w:r>
              <w:rPr>
                <w:rFonts w:hint="default" w:ascii="Times New Roman" w:hAnsi="Times New Roman" w:eastAsia="宋体" w:cs="Times New Roman"/>
                <w:b/>
                <w:bCs w:val="0"/>
                <w:color w:val="auto"/>
                <w:spacing w:val="8"/>
                <w:sz w:val="24"/>
                <w:highlight w:val="none"/>
                <w:lang w:val="en-US" w:eastAsia="zh-CN"/>
              </w:rPr>
              <w:t>1.</w:t>
            </w:r>
            <w:r>
              <w:rPr>
                <w:rFonts w:hint="default" w:ascii="Times New Roman" w:hAnsi="Times New Roman" w:eastAsia="宋体" w:cs="Times New Roman"/>
                <w:b/>
                <w:bCs w:val="0"/>
                <w:color w:val="auto"/>
                <w:spacing w:val="8"/>
                <w:sz w:val="24"/>
                <w:highlight w:val="none"/>
              </w:rPr>
              <w:t>环境质量标准</w:t>
            </w:r>
          </w:p>
          <w:p w14:paraId="56EA2F5C">
            <w:pPr>
              <w:keepNext w:val="0"/>
              <w:keepLines w:val="0"/>
              <w:pageBreakBefore w:val="0"/>
              <w:widowControl w:val="0"/>
              <w:wordWrap/>
              <w:topLinePunct w:val="0"/>
              <w:bidi w:val="0"/>
              <w:adjustRightInd w:val="0"/>
              <w:snapToGrid w:val="0"/>
              <w:spacing w:line="360" w:lineRule="auto"/>
              <w:ind w:firstLine="420" w:firstLineChars="200"/>
              <w:rPr>
                <w:rFonts w:hint="default" w:ascii="Times New Roman" w:hAnsi="Times New Roman" w:eastAsia="宋体" w:cs="Times New Roman"/>
                <w:bCs/>
                <w:color w:val="auto"/>
                <w:spacing w:val="8"/>
                <w:sz w:val="24"/>
                <w:highlight w:val="none"/>
                <w:lang w:val="en-US" w:eastAsia="zh-CN"/>
              </w:rPr>
            </w:pPr>
            <w:r>
              <w:rPr>
                <w:rFonts w:hint="default" w:ascii="Times New Roman" w:hAnsi="Times New Roman" w:cs="Times New Roman"/>
                <w:color w:val="auto"/>
                <w:highlight w:val="none"/>
                <w:lang w:val="en-US" w:eastAsia="zh-CN"/>
              </w:rPr>
              <w:t xml:space="preserve"> </w:t>
            </w:r>
            <w:r>
              <w:rPr>
                <w:rFonts w:hint="default" w:ascii="Times New Roman" w:hAnsi="Times New Roman" w:eastAsia="宋体" w:cs="Times New Roman"/>
                <w:bCs/>
                <w:color w:val="auto"/>
                <w:spacing w:val="8"/>
                <w:sz w:val="24"/>
                <w:highlight w:val="none"/>
                <w:lang w:val="en-US" w:eastAsia="zh-CN"/>
              </w:rPr>
              <w:t>（1）环境空气</w:t>
            </w:r>
          </w:p>
          <w:p w14:paraId="201BC108">
            <w:pPr>
              <w:keepNext w:val="0"/>
              <w:keepLines w:val="0"/>
              <w:pageBreakBefore w:val="0"/>
              <w:widowControl w:val="0"/>
              <w:wordWrap/>
              <w:topLinePunct w:val="0"/>
              <w:bidi w:val="0"/>
              <w:adjustRightInd w:val="0"/>
              <w:snapToGrid w:val="0"/>
              <w:spacing w:line="360" w:lineRule="auto"/>
              <w:ind w:firstLine="456" w:firstLineChars="200"/>
              <w:rPr>
                <w:rFonts w:hint="default" w:ascii="Times New Roman" w:hAnsi="Times New Roman" w:eastAsia="宋体" w:cs="Times New Roman"/>
                <w:bCs/>
                <w:color w:val="auto"/>
                <w:spacing w:val="-6"/>
                <w:sz w:val="24"/>
                <w:highlight w:val="none"/>
                <w:lang w:val="en-US" w:eastAsia="zh-CN"/>
              </w:rPr>
            </w:pPr>
            <w:r>
              <w:rPr>
                <w:rFonts w:hint="default" w:ascii="Times New Roman" w:hAnsi="Times New Roman" w:eastAsia="宋体" w:cs="Times New Roman"/>
                <w:bCs/>
                <w:color w:val="auto"/>
                <w:spacing w:val="-6"/>
                <w:sz w:val="24"/>
                <w:highlight w:val="none"/>
                <w:lang w:eastAsia="zh-CN"/>
              </w:rPr>
              <w:t>项目</w:t>
            </w:r>
            <w:r>
              <w:rPr>
                <w:rFonts w:hint="default" w:ascii="Times New Roman" w:hAnsi="Times New Roman" w:eastAsia="宋体" w:cs="Times New Roman"/>
                <w:bCs/>
                <w:color w:val="auto"/>
                <w:spacing w:val="-6"/>
                <w:sz w:val="24"/>
                <w:highlight w:val="none"/>
              </w:rPr>
              <w:t>所在区域</w:t>
            </w:r>
            <w:r>
              <w:rPr>
                <w:rFonts w:hint="default" w:ascii="Times New Roman" w:hAnsi="Times New Roman" w:eastAsia="宋体" w:cs="Times New Roman"/>
                <w:bCs/>
                <w:color w:val="auto"/>
                <w:spacing w:val="-6"/>
                <w:sz w:val="24"/>
                <w:highlight w:val="none"/>
                <w:lang w:val="en-US" w:eastAsia="zh-CN"/>
              </w:rPr>
              <w:t>为环境空气二类区，</w:t>
            </w:r>
            <w:r>
              <w:rPr>
                <w:rFonts w:hint="default" w:ascii="Times New Roman" w:hAnsi="Times New Roman" w:eastAsia="宋体" w:cs="Times New Roman"/>
                <w:bCs/>
                <w:color w:val="auto"/>
                <w:spacing w:val="-6"/>
                <w:sz w:val="24"/>
                <w:highlight w:val="none"/>
                <w:lang w:eastAsia="zh-CN"/>
              </w:rPr>
              <w:t>环境空气执行《环境空气质量标准》（</w:t>
            </w:r>
            <w:r>
              <w:rPr>
                <w:rFonts w:hint="default" w:ascii="Times New Roman" w:hAnsi="Times New Roman" w:eastAsia="宋体" w:cs="Times New Roman"/>
                <w:bCs/>
                <w:color w:val="auto"/>
                <w:spacing w:val="-6"/>
                <w:sz w:val="24"/>
                <w:highlight w:val="none"/>
                <w:lang w:val="en-US" w:eastAsia="zh-CN"/>
              </w:rPr>
              <w:t>GB3095-2012</w:t>
            </w:r>
            <w:r>
              <w:rPr>
                <w:rFonts w:hint="default" w:ascii="Times New Roman" w:hAnsi="Times New Roman" w:eastAsia="宋体" w:cs="Times New Roman"/>
                <w:bCs/>
                <w:color w:val="auto"/>
                <w:spacing w:val="-6"/>
                <w:sz w:val="24"/>
                <w:highlight w:val="none"/>
                <w:lang w:eastAsia="zh-CN"/>
              </w:rPr>
              <w:t>）二类</w:t>
            </w:r>
            <w:r>
              <w:rPr>
                <w:rFonts w:hint="default" w:ascii="Times New Roman" w:hAnsi="Times New Roman" w:eastAsia="宋体" w:cs="Times New Roman"/>
                <w:bCs/>
                <w:color w:val="auto"/>
                <w:spacing w:val="-6"/>
                <w:sz w:val="24"/>
                <w:highlight w:val="none"/>
                <w:lang w:val="en-US" w:eastAsia="zh-CN"/>
              </w:rPr>
              <w:t>标准限值</w:t>
            </w:r>
            <w:r>
              <w:rPr>
                <w:rFonts w:hint="default" w:ascii="Times New Roman" w:hAnsi="Times New Roman" w:eastAsia="宋体" w:cs="Times New Roman"/>
                <w:bCs/>
                <w:color w:val="auto"/>
                <w:spacing w:val="-6"/>
                <w:sz w:val="24"/>
                <w:highlight w:val="none"/>
                <w:lang w:eastAsia="zh-CN"/>
              </w:rPr>
              <w:t>。</w:t>
            </w:r>
          </w:p>
          <w:p w14:paraId="760D667A">
            <w:pPr>
              <w:keepNext w:val="0"/>
              <w:keepLines w:val="0"/>
              <w:pageBreakBefore w:val="0"/>
              <w:widowControl w:val="0"/>
              <w:wordWrap/>
              <w:topLinePunct w:val="0"/>
              <w:bidi w:val="0"/>
              <w:adjustRightInd w:val="0"/>
              <w:snapToGrid w:val="0"/>
              <w:spacing w:line="360" w:lineRule="auto"/>
              <w:ind w:firstLine="512" w:firstLineChars="200"/>
              <w:rPr>
                <w:rFonts w:hint="default" w:ascii="Times New Roman" w:hAnsi="Times New Roman" w:eastAsia="宋体" w:cs="Times New Roman"/>
                <w:bCs/>
                <w:color w:val="auto"/>
                <w:spacing w:val="8"/>
                <w:sz w:val="24"/>
                <w:highlight w:val="none"/>
                <w:lang w:val="en-US" w:eastAsia="zh-CN"/>
              </w:rPr>
            </w:pPr>
            <w:r>
              <w:rPr>
                <w:rFonts w:hint="default" w:ascii="Times New Roman" w:hAnsi="Times New Roman" w:eastAsia="宋体" w:cs="Times New Roman"/>
                <w:bCs/>
                <w:color w:val="auto"/>
                <w:spacing w:val="8"/>
                <w:sz w:val="24"/>
                <w:highlight w:val="none"/>
                <w:lang w:val="en-US" w:eastAsia="zh-CN"/>
              </w:rPr>
              <w:t>（2）声环境质量标准</w:t>
            </w:r>
          </w:p>
          <w:p w14:paraId="3D18672B">
            <w:pPr>
              <w:keepNext w:val="0"/>
              <w:keepLines w:val="0"/>
              <w:pageBreakBefore w:val="0"/>
              <w:widowControl w:val="0"/>
              <w:wordWrap/>
              <w:topLinePunct w:val="0"/>
              <w:bidi w:val="0"/>
              <w:adjustRightInd w:val="0"/>
              <w:snapToGrid w:val="0"/>
              <w:spacing w:line="360" w:lineRule="auto"/>
              <w:ind w:firstLine="456" w:firstLineChars="200"/>
              <w:rPr>
                <w:rFonts w:hint="default" w:ascii="Times New Roman" w:hAnsi="Times New Roman" w:eastAsia="宋体" w:cs="Times New Roman"/>
                <w:bCs/>
                <w:color w:val="auto"/>
                <w:spacing w:val="8"/>
                <w:sz w:val="24"/>
                <w:highlight w:val="none"/>
              </w:rPr>
            </w:pPr>
            <w:r>
              <w:rPr>
                <w:rFonts w:hint="default" w:ascii="Times New Roman" w:hAnsi="Times New Roman" w:eastAsia="宋体" w:cs="Times New Roman"/>
                <w:bCs/>
                <w:color w:val="auto"/>
                <w:spacing w:val="-6"/>
                <w:sz w:val="24"/>
                <w:highlight w:val="none"/>
                <w:lang w:eastAsia="zh-CN"/>
              </w:rPr>
              <w:t>项目</w:t>
            </w:r>
            <w:r>
              <w:rPr>
                <w:rFonts w:hint="default" w:ascii="Times New Roman" w:hAnsi="Times New Roman" w:eastAsia="宋体" w:cs="Times New Roman"/>
                <w:bCs/>
                <w:color w:val="auto"/>
                <w:spacing w:val="8"/>
                <w:sz w:val="24"/>
                <w:highlight w:val="none"/>
              </w:rPr>
              <w:t>所在区域声环境属于</w:t>
            </w:r>
            <w:r>
              <w:rPr>
                <w:rFonts w:hint="eastAsia" w:eastAsia="宋体" w:cs="Times New Roman"/>
                <w:bCs/>
                <w:color w:val="auto"/>
                <w:spacing w:val="8"/>
                <w:sz w:val="24"/>
                <w:highlight w:val="none"/>
                <w:lang w:val="en-US" w:eastAsia="zh-CN"/>
              </w:rPr>
              <w:t>3</w:t>
            </w:r>
            <w:r>
              <w:rPr>
                <w:rFonts w:hint="default" w:ascii="Times New Roman" w:hAnsi="Times New Roman" w:eastAsia="宋体" w:cs="Times New Roman"/>
                <w:bCs/>
                <w:color w:val="auto"/>
                <w:spacing w:val="8"/>
                <w:sz w:val="24"/>
                <w:highlight w:val="none"/>
              </w:rPr>
              <w:t>类区，执行《声环境质量标准》（GB3096-2008）</w:t>
            </w:r>
            <w:r>
              <w:rPr>
                <w:rFonts w:hint="eastAsia" w:eastAsia="宋体" w:cs="Times New Roman"/>
                <w:bCs/>
                <w:color w:val="auto"/>
                <w:spacing w:val="8"/>
                <w:sz w:val="24"/>
                <w:highlight w:val="none"/>
                <w:lang w:val="en-US" w:eastAsia="zh-CN"/>
              </w:rPr>
              <w:t>3</w:t>
            </w:r>
            <w:r>
              <w:rPr>
                <w:rFonts w:hint="default" w:ascii="Times New Roman" w:hAnsi="Times New Roman" w:eastAsia="宋体" w:cs="Times New Roman"/>
                <w:bCs/>
                <w:color w:val="auto"/>
                <w:spacing w:val="8"/>
                <w:sz w:val="24"/>
                <w:highlight w:val="none"/>
              </w:rPr>
              <w:t>类标准，即昼间≤</w:t>
            </w:r>
            <w:r>
              <w:rPr>
                <w:rFonts w:hint="eastAsia" w:eastAsia="宋体" w:cs="Times New Roman"/>
                <w:bCs/>
                <w:color w:val="auto"/>
                <w:spacing w:val="8"/>
                <w:sz w:val="24"/>
                <w:highlight w:val="none"/>
                <w:lang w:val="en-US" w:eastAsia="zh-CN"/>
              </w:rPr>
              <w:t>65</w:t>
            </w:r>
            <w:r>
              <w:rPr>
                <w:rFonts w:hint="default" w:ascii="Times New Roman" w:hAnsi="Times New Roman" w:eastAsia="宋体" w:cs="Times New Roman"/>
                <w:bCs/>
                <w:color w:val="auto"/>
                <w:spacing w:val="8"/>
                <w:sz w:val="24"/>
                <w:highlight w:val="none"/>
              </w:rPr>
              <w:t>dB(A)，夜间≤</w:t>
            </w:r>
            <w:r>
              <w:rPr>
                <w:rFonts w:hint="eastAsia" w:eastAsia="宋体" w:cs="Times New Roman"/>
                <w:bCs/>
                <w:color w:val="auto"/>
                <w:spacing w:val="8"/>
                <w:sz w:val="24"/>
                <w:highlight w:val="none"/>
                <w:lang w:val="en-US" w:eastAsia="zh-CN"/>
              </w:rPr>
              <w:t>55</w:t>
            </w:r>
            <w:r>
              <w:rPr>
                <w:rFonts w:hint="default" w:ascii="Times New Roman" w:hAnsi="Times New Roman" w:eastAsia="宋体" w:cs="Times New Roman"/>
                <w:bCs/>
                <w:color w:val="auto"/>
                <w:spacing w:val="8"/>
                <w:sz w:val="24"/>
                <w:highlight w:val="none"/>
              </w:rPr>
              <w:t>dB(A)。</w:t>
            </w:r>
          </w:p>
          <w:p w14:paraId="68078319">
            <w:pPr>
              <w:keepNext w:val="0"/>
              <w:keepLines w:val="0"/>
              <w:pageBreakBefore w:val="0"/>
              <w:widowControl w:val="0"/>
              <w:wordWrap/>
              <w:topLinePunct w:val="0"/>
              <w:bidi w:val="0"/>
              <w:adjustRightInd w:val="0"/>
              <w:snapToGrid w:val="0"/>
              <w:spacing w:line="360" w:lineRule="auto"/>
              <w:ind w:firstLine="512" w:firstLineChars="200"/>
              <w:rPr>
                <w:rFonts w:hint="default" w:ascii="Times New Roman" w:hAnsi="Times New Roman" w:eastAsia="宋体" w:cs="Times New Roman"/>
                <w:bCs/>
                <w:color w:val="auto"/>
                <w:spacing w:val="8"/>
                <w:sz w:val="24"/>
                <w:highlight w:val="none"/>
              </w:rPr>
            </w:pPr>
            <w:r>
              <w:rPr>
                <w:rFonts w:hint="default" w:ascii="Times New Roman" w:hAnsi="Times New Roman" w:eastAsia="宋体" w:cs="Times New Roman"/>
                <w:bCs/>
                <w:color w:val="auto"/>
                <w:spacing w:val="8"/>
                <w:sz w:val="24"/>
                <w:highlight w:val="none"/>
                <w:lang w:val="en-US" w:eastAsia="zh-CN"/>
              </w:rPr>
              <w:t>（3）</w:t>
            </w:r>
            <w:r>
              <w:rPr>
                <w:rFonts w:hint="default" w:ascii="Times New Roman" w:hAnsi="Times New Roman" w:eastAsia="宋体" w:cs="Times New Roman"/>
                <w:bCs/>
                <w:color w:val="auto"/>
                <w:spacing w:val="8"/>
                <w:sz w:val="24"/>
                <w:highlight w:val="none"/>
              </w:rPr>
              <w:t>工频电场、磁感应强度</w:t>
            </w:r>
          </w:p>
          <w:p w14:paraId="7F9115BC">
            <w:pPr>
              <w:keepNext w:val="0"/>
              <w:keepLines w:val="0"/>
              <w:pageBreakBefore w:val="0"/>
              <w:widowControl w:val="0"/>
              <w:wordWrap/>
              <w:topLinePunct w:val="0"/>
              <w:bidi w:val="0"/>
              <w:adjustRightInd w:val="0"/>
              <w:snapToGrid w:val="0"/>
              <w:spacing w:line="360" w:lineRule="auto"/>
              <w:ind w:firstLine="512" w:firstLineChars="200"/>
              <w:rPr>
                <w:rFonts w:hint="default" w:ascii="Times New Roman" w:hAnsi="Times New Roman" w:eastAsia="宋体" w:cs="Times New Roman"/>
                <w:bCs/>
                <w:color w:val="auto"/>
                <w:spacing w:val="8"/>
                <w:sz w:val="24"/>
                <w:highlight w:val="none"/>
              </w:rPr>
            </w:pPr>
            <w:r>
              <w:rPr>
                <w:rFonts w:hint="default" w:ascii="Times New Roman" w:hAnsi="Times New Roman" w:eastAsia="宋体" w:cs="Times New Roman"/>
                <w:bCs/>
                <w:color w:val="auto"/>
                <w:spacing w:val="8"/>
                <w:sz w:val="24"/>
                <w:highlight w:val="none"/>
              </w:rPr>
              <w:t>根据《电磁环境控制限值》（GB8702-2014），公众曝露控制限值应满足下表</w:t>
            </w:r>
            <w:r>
              <w:rPr>
                <w:rFonts w:hint="default" w:ascii="Times New Roman" w:hAnsi="Times New Roman" w:eastAsia="宋体" w:cs="Times New Roman"/>
                <w:bCs/>
                <w:color w:val="auto"/>
                <w:spacing w:val="8"/>
                <w:sz w:val="24"/>
                <w:highlight w:val="none"/>
                <w:lang w:val="en-US" w:eastAsia="zh-CN"/>
              </w:rPr>
              <w:t>3-5</w:t>
            </w:r>
            <w:r>
              <w:rPr>
                <w:rFonts w:hint="default" w:ascii="Times New Roman" w:hAnsi="Times New Roman" w:eastAsia="宋体" w:cs="Times New Roman"/>
                <w:bCs/>
                <w:color w:val="auto"/>
                <w:spacing w:val="8"/>
                <w:sz w:val="24"/>
                <w:highlight w:val="none"/>
              </w:rPr>
              <w:t>要求。</w:t>
            </w:r>
          </w:p>
          <w:p w14:paraId="7227B108">
            <w:pPr>
              <w:keepNext w:val="0"/>
              <w:keepLines w:val="0"/>
              <w:pageBreakBefore w:val="0"/>
              <w:widowControl w:val="0"/>
              <w:wordWrap/>
              <w:topLinePunct w:val="0"/>
              <w:bidi w:val="0"/>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 xml:space="preserve">表3-5    </w:t>
            </w:r>
            <w:r>
              <w:rPr>
                <w:rFonts w:hint="default" w:ascii="Times New Roman" w:hAnsi="Times New Roman" w:eastAsia="宋体" w:cs="Times New Roman"/>
                <w:b/>
                <w:bCs/>
                <w:color w:val="auto"/>
                <w:sz w:val="21"/>
                <w:szCs w:val="21"/>
                <w:highlight w:val="none"/>
              </w:rPr>
              <w:t>公众曝露控制限值</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7"/>
              <w:gridCol w:w="2596"/>
              <w:gridCol w:w="2598"/>
            </w:tblGrid>
            <w:tr w14:paraId="5A9CF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67" w:type="pct"/>
                  <w:noWrap w:val="0"/>
                  <w:vAlign w:val="center"/>
                </w:tcPr>
                <w:p w14:paraId="7F50697F">
                  <w:pPr>
                    <w:keepNext w:val="0"/>
                    <w:keepLines w:val="0"/>
                    <w:pageBreakBefore w:val="0"/>
                    <w:widowControl w:val="0"/>
                    <w:wordWrap/>
                    <w:topLinePunct w:val="0"/>
                    <w:bidi w:val="0"/>
                    <w:snapToGrid w:val="0"/>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频率范围</w:t>
                  </w:r>
                </w:p>
              </w:tc>
              <w:tc>
                <w:tcPr>
                  <w:tcW w:w="1666" w:type="pct"/>
                  <w:noWrap w:val="0"/>
                  <w:vAlign w:val="center"/>
                </w:tcPr>
                <w:p w14:paraId="626B431E">
                  <w:pPr>
                    <w:keepNext w:val="0"/>
                    <w:keepLines w:val="0"/>
                    <w:pageBreakBefore w:val="0"/>
                    <w:widowControl w:val="0"/>
                    <w:wordWrap/>
                    <w:topLinePunct w:val="0"/>
                    <w:bidi w:val="0"/>
                    <w:snapToGrid w:val="0"/>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电场强度V/m</w:t>
                  </w:r>
                </w:p>
              </w:tc>
              <w:tc>
                <w:tcPr>
                  <w:tcW w:w="1667" w:type="pct"/>
                  <w:noWrap w:val="0"/>
                  <w:vAlign w:val="center"/>
                </w:tcPr>
                <w:p w14:paraId="5F276A3B">
                  <w:pPr>
                    <w:keepNext w:val="0"/>
                    <w:keepLines w:val="0"/>
                    <w:pageBreakBefore w:val="0"/>
                    <w:widowControl w:val="0"/>
                    <w:wordWrap/>
                    <w:topLinePunct w:val="0"/>
                    <w:bidi w:val="0"/>
                    <w:snapToGrid w:val="0"/>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磁感应强度B（μT）</w:t>
                  </w:r>
                </w:p>
              </w:tc>
            </w:tr>
            <w:tr w14:paraId="2A4F5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67" w:type="pct"/>
                  <w:noWrap w:val="0"/>
                  <w:vAlign w:val="center"/>
                </w:tcPr>
                <w:p w14:paraId="661A5659">
                  <w:pPr>
                    <w:keepNext w:val="0"/>
                    <w:keepLines w:val="0"/>
                    <w:pageBreakBefore w:val="0"/>
                    <w:widowControl w:val="0"/>
                    <w:wordWrap/>
                    <w:topLinePunct w:val="0"/>
                    <w:bidi w:val="0"/>
                    <w:snapToGrid w:val="0"/>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0.025</w:t>
                  </w:r>
                  <w:r>
                    <w:rPr>
                      <w:rFonts w:hint="default" w:ascii="Times New Roman" w:hAnsi="Times New Roman" w:cs="Times New Roman"/>
                      <w:color w:val="auto"/>
                      <w:highlight w:val="none"/>
                      <w:lang w:val="en-US" w:eastAsia="zh-CN"/>
                    </w:rPr>
                    <w:t>k</w:t>
                  </w:r>
                  <w:r>
                    <w:rPr>
                      <w:rFonts w:hint="default" w:ascii="Times New Roman" w:hAnsi="Times New Roman" w:cs="Times New Roman"/>
                      <w:color w:val="auto"/>
                      <w:highlight w:val="none"/>
                    </w:rPr>
                    <w:t>Hz～1.2</w:t>
                  </w:r>
                  <w:r>
                    <w:rPr>
                      <w:rFonts w:hint="default" w:ascii="Times New Roman" w:hAnsi="Times New Roman" w:cs="Times New Roman"/>
                      <w:color w:val="auto"/>
                      <w:highlight w:val="none"/>
                      <w:lang w:val="en-US" w:eastAsia="zh-CN"/>
                    </w:rPr>
                    <w:t>k</w:t>
                  </w:r>
                  <w:r>
                    <w:rPr>
                      <w:rFonts w:hint="default" w:ascii="Times New Roman" w:hAnsi="Times New Roman" w:cs="Times New Roman"/>
                      <w:color w:val="auto"/>
                      <w:highlight w:val="none"/>
                    </w:rPr>
                    <w:t>Hz</w:t>
                  </w:r>
                </w:p>
              </w:tc>
              <w:tc>
                <w:tcPr>
                  <w:tcW w:w="1666" w:type="pct"/>
                  <w:noWrap w:val="0"/>
                  <w:vAlign w:val="center"/>
                </w:tcPr>
                <w:p w14:paraId="6B0EC3CF">
                  <w:pPr>
                    <w:keepNext w:val="0"/>
                    <w:keepLines w:val="0"/>
                    <w:pageBreakBefore w:val="0"/>
                    <w:widowControl w:val="0"/>
                    <w:wordWrap/>
                    <w:topLinePunct w:val="0"/>
                    <w:bidi w:val="0"/>
                    <w:snapToGrid w:val="0"/>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200/f</w:t>
                  </w:r>
                </w:p>
              </w:tc>
              <w:tc>
                <w:tcPr>
                  <w:tcW w:w="1667" w:type="pct"/>
                  <w:noWrap w:val="0"/>
                  <w:vAlign w:val="center"/>
                </w:tcPr>
                <w:p w14:paraId="38681547">
                  <w:pPr>
                    <w:keepNext w:val="0"/>
                    <w:keepLines w:val="0"/>
                    <w:pageBreakBefore w:val="0"/>
                    <w:widowControl w:val="0"/>
                    <w:wordWrap/>
                    <w:topLinePunct w:val="0"/>
                    <w:bidi w:val="0"/>
                    <w:snapToGrid w:val="0"/>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5/f</w:t>
                  </w:r>
                </w:p>
              </w:tc>
            </w:tr>
            <w:tr w14:paraId="2FAD4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67" w:type="pct"/>
                  <w:noWrap w:val="0"/>
                  <w:vAlign w:val="center"/>
                </w:tcPr>
                <w:p w14:paraId="7156503C">
                  <w:pPr>
                    <w:keepNext w:val="0"/>
                    <w:keepLines w:val="0"/>
                    <w:pageBreakBefore w:val="0"/>
                    <w:widowControl w:val="0"/>
                    <w:wordWrap/>
                    <w:topLinePunct w:val="0"/>
                    <w:bidi w:val="0"/>
                    <w:snapToGrid w:val="0"/>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50Hz</w:t>
                  </w:r>
                  <w:r>
                    <w:rPr>
                      <w:rFonts w:hint="eastAsia" w:cs="Times New Roman"/>
                      <w:color w:val="auto"/>
                      <w:highlight w:val="none"/>
                      <w:lang w:val="en-US" w:eastAsia="zh-CN"/>
                    </w:rPr>
                    <w:t>（本项目）</w:t>
                  </w:r>
                </w:p>
              </w:tc>
              <w:tc>
                <w:tcPr>
                  <w:tcW w:w="1666" w:type="pct"/>
                  <w:noWrap w:val="0"/>
                  <w:vAlign w:val="center"/>
                </w:tcPr>
                <w:p w14:paraId="19CD715D">
                  <w:pPr>
                    <w:keepNext w:val="0"/>
                    <w:keepLines w:val="0"/>
                    <w:pageBreakBefore w:val="0"/>
                    <w:widowControl w:val="0"/>
                    <w:wordWrap/>
                    <w:topLinePunct w:val="0"/>
                    <w:bidi w:val="0"/>
                    <w:snapToGrid w:val="0"/>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4000</w:t>
                  </w:r>
                </w:p>
              </w:tc>
              <w:tc>
                <w:tcPr>
                  <w:tcW w:w="1667" w:type="pct"/>
                  <w:noWrap w:val="0"/>
                  <w:vAlign w:val="center"/>
                </w:tcPr>
                <w:p w14:paraId="5F7E8F43">
                  <w:pPr>
                    <w:keepNext w:val="0"/>
                    <w:keepLines w:val="0"/>
                    <w:pageBreakBefore w:val="0"/>
                    <w:widowControl w:val="0"/>
                    <w:wordWrap/>
                    <w:topLinePunct w:val="0"/>
                    <w:bidi w:val="0"/>
                    <w:snapToGrid w:val="0"/>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100</w:t>
                  </w:r>
                </w:p>
              </w:tc>
            </w:tr>
          </w:tbl>
          <w:p w14:paraId="77A967F7">
            <w:pPr>
              <w:keepNext w:val="0"/>
              <w:keepLines w:val="0"/>
              <w:pageBreakBefore w:val="0"/>
              <w:widowControl w:val="0"/>
              <w:wordWrap/>
              <w:topLinePunct w:val="0"/>
              <w:bidi w:val="0"/>
              <w:adjustRightInd w:val="0"/>
              <w:snapToGrid w:val="0"/>
              <w:spacing w:line="360" w:lineRule="auto"/>
              <w:rPr>
                <w:rFonts w:hint="default" w:ascii="Times New Roman" w:hAnsi="Times New Roman" w:eastAsia="宋体" w:cs="Times New Roman"/>
                <w:b/>
                <w:bCs w:val="0"/>
                <w:color w:val="auto"/>
                <w:spacing w:val="8"/>
                <w:sz w:val="24"/>
                <w:highlight w:val="none"/>
              </w:rPr>
            </w:pPr>
            <w:r>
              <w:rPr>
                <w:rFonts w:hint="default" w:ascii="Times New Roman" w:hAnsi="Times New Roman" w:eastAsia="宋体" w:cs="Times New Roman"/>
                <w:b/>
                <w:bCs w:val="0"/>
                <w:color w:val="auto"/>
                <w:spacing w:val="8"/>
                <w:sz w:val="24"/>
                <w:highlight w:val="none"/>
                <w:lang w:val="en-US" w:eastAsia="zh-CN"/>
              </w:rPr>
              <w:t>2.</w:t>
            </w:r>
            <w:r>
              <w:rPr>
                <w:rFonts w:hint="default" w:ascii="Times New Roman" w:hAnsi="Times New Roman" w:eastAsia="宋体" w:cs="Times New Roman"/>
                <w:b/>
                <w:bCs w:val="0"/>
                <w:color w:val="auto"/>
                <w:spacing w:val="8"/>
                <w:sz w:val="24"/>
                <w:highlight w:val="none"/>
              </w:rPr>
              <w:t>污染物排放控制标准</w:t>
            </w:r>
          </w:p>
          <w:p w14:paraId="0AF675EB">
            <w:pPr>
              <w:keepNext w:val="0"/>
              <w:keepLines w:val="0"/>
              <w:pageBreakBefore w:val="0"/>
              <w:widowControl w:val="0"/>
              <w:suppressLineNumbers w:val="0"/>
              <w:wordWrap/>
              <w:topLinePunct w:val="0"/>
              <w:bidi w:val="0"/>
              <w:spacing w:line="360" w:lineRule="auto"/>
              <w:ind w:firstLine="512" w:firstLineChars="200"/>
              <w:jc w:val="both"/>
              <w:rPr>
                <w:rFonts w:hint="default" w:ascii="Times New Roman" w:hAnsi="Times New Roman" w:eastAsia="宋体" w:cs="Times New Roman"/>
                <w:bCs/>
                <w:color w:val="auto"/>
                <w:spacing w:val="8"/>
                <w:sz w:val="24"/>
                <w:highlight w:val="none"/>
                <w:lang w:val="en-US" w:eastAsia="zh-CN"/>
              </w:rPr>
            </w:pPr>
            <w:r>
              <w:rPr>
                <w:rFonts w:hint="default" w:ascii="Times New Roman" w:hAnsi="Times New Roman" w:eastAsia="宋体" w:cs="Times New Roman"/>
                <w:bCs/>
                <w:color w:val="auto"/>
                <w:spacing w:val="8"/>
                <w:sz w:val="24"/>
                <w:highlight w:val="none"/>
                <w:lang w:eastAsia="zh-CN"/>
              </w:rPr>
              <w:t>（</w:t>
            </w:r>
            <w:r>
              <w:rPr>
                <w:rFonts w:hint="default" w:ascii="Times New Roman" w:hAnsi="Times New Roman" w:eastAsia="宋体" w:cs="Times New Roman"/>
                <w:bCs/>
                <w:color w:val="auto"/>
                <w:spacing w:val="8"/>
                <w:sz w:val="24"/>
                <w:highlight w:val="none"/>
                <w:lang w:val="en-US" w:eastAsia="zh-CN"/>
              </w:rPr>
              <w:t>1</w:t>
            </w:r>
            <w:r>
              <w:rPr>
                <w:rFonts w:hint="default" w:ascii="Times New Roman" w:hAnsi="Times New Roman" w:eastAsia="宋体" w:cs="Times New Roman"/>
                <w:bCs/>
                <w:color w:val="auto"/>
                <w:spacing w:val="8"/>
                <w:sz w:val="24"/>
                <w:highlight w:val="none"/>
                <w:lang w:eastAsia="zh-CN"/>
              </w:rPr>
              <w:t>）废气：施工期扬尘执行《大气污染物综合排放标准》（</w:t>
            </w:r>
            <w:r>
              <w:rPr>
                <w:rFonts w:hint="default" w:ascii="Times New Roman" w:hAnsi="Times New Roman" w:eastAsia="宋体" w:cs="Times New Roman"/>
                <w:bCs/>
                <w:color w:val="auto"/>
                <w:spacing w:val="8"/>
                <w:sz w:val="24"/>
                <w:highlight w:val="none"/>
                <w:lang w:val="en-US" w:eastAsia="zh-CN"/>
              </w:rPr>
              <w:t>16297-1996</w:t>
            </w:r>
            <w:r>
              <w:rPr>
                <w:rFonts w:hint="default" w:ascii="Times New Roman" w:hAnsi="Times New Roman" w:eastAsia="宋体" w:cs="Times New Roman"/>
                <w:bCs/>
                <w:color w:val="auto"/>
                <w:spacing w:val="8"/>
                <w:sz w:val="24"/>
                <w:highlight w:val="none"/>
                <w:lang w:eastAsia="zh-CN"/>
              </w:rPr>
              <w:t>）表</w:t>
            </w:r>
            <w:r>
              <w:rPr>
                <w:rFonts w:hint="default" w:ascii="Times New Roman" w:hAnsi="Times New Roman" w:eastAsia="宋体" w:cs="Times New Roman"/>
                <w:bCs/>
                <w:color w:val="auto"/>
                <w:spacing w:val="8"/>
                <w:sz w:val="24"/>
                <w:highlight w:val="none"/>
                <w:lang w:val="en-US" w:eastAsia="zh-CN"/>
              </w:rPr>
              <w:t>2颗粒物无组织排放监控浓度限值。</w:t>
            </w:r>
          </w:p>
          <w:p w14:paraId="4CD9A57E">
            <w:pPr>
              <w:keepNext w:val="0"/>
              <w:keepLines w:val="0"/>
              <w:pageBreakBefore w:val="0"/>
              <w:widowControl w:val="0"/>
              <w:wordWrap/>
              <w:topLinePunct w:val="0"/>
              <w:bidi w:val="0"/>
              <w:adjustRightInd w:val="0"/>
              <w:snapToGrid w:val="0"/>
              <w:spacing w:line="360" w:lineRule="auto"/>
              <w:ind w:firstLine="512" w:firstLineChars="200"/>
              <w:rPr>
                <w:rFonts w:hint="default" w:ascii="Times New Roman" w:hAnsi="Times New Roman" w:eastAsia="宋体" w:cs="Times New Roman"/>
                <w:bCs/>
                <w:color w:val="auto"/>
                <w:spacing w:val="8"/>
                <w:sz w:val="24"/>
                <w:highlight w:val="none"/>
              </w:rPr>
            </w:pPr>
            <w:r>
              <w:rPr>
                <w:rFonts w:hint="default" w:ascii="Times New Roman" w:hAnsi="Times New Roman" w:eastAsia="宋体" w:cs="Times New Roman"/>
                <w:bCs/>
                <w:color w:val="auto"/>
                <w:spacing w:val="8"/>
                <w:sz w:val="24"/>
                <w:highlight w:val="none"/>
              </w:rPr>
              <w:t>（</w:t>
            </w:r>
            <w:r>
              <w:rPr>
                <w:rFonts w:hint="default" w:ascii="Times New Roman" w:hAnsi="Times New Roman" w:eastAsia="宋体" w:cs="Times New Roman"/>
                <w:bCs/>
                <w:color w:val="auto"/>
                <w:spacing w:val="8"/>
                <w:sz w:val="24"/>
                <w:highlight w:val="none"/>
                <w:lang w:val="en-US" w:eastAsia="zh-CN"/>
              </w:rPr>
              <w:t>2</w:t>
            </w:r>
            <w:r>
              <w:rPr>
                <w:rFonts w:hint="default" w:ascii="Times New Roman" w:hAnsi="Times New Roman" w:eastAsia="宋体" w:cs="Times New Roman"/>
                <w:bCs/>
                <w:color w:val="auto"/>
                <w:spacing w:val="8"/>
                <w:sz w:val="24"/>
                <w:highlight w:val="none"/>
              </w:rPr>
              <w:t>）噪声：施工期噪声执行《建筑施工场界环境噪声排放标准》（GB12523-2011）的排放限值，即昼间≤70dB(A)，夜间≤</w:t>
            </w:r>
            <w:r>
              <w:rPr>
                <w:rFonts w:hint="default" w:ascii="Times New Roman" w:hAnsi="Times New Roman" w:eastAsia="宋体" w:cs="Times New Roman"/>
                <w:bCs/>
                <w:color w:val="auto"/>
                <w:spacing w:val="8"/>
                <w:sz w:val="24"/>
                <w:highlight w:val="none"/>
                <w:lang w:val="en-US" w:eastAsia="zh-CN"/>
              </w:rPr>
              <w:t>55</w:t>
            </w:r>
            <w:r>
              <w:rPr>
                <w:rFonts w:hint="default" w:ascii="Times New Roman" w:hAnsi="Times New Roman" w:eastAsia="宋体" w:cs="Times New Roman"/>
                <w:bCs/>
                <w:color w:val="auto"/>
                <w:spacing w:val="8"/>
                <w:sz w:val="24"/>
                <w:highlight w:val="none"/>
              </w:rPr>
              <w:t>dB(A)；运营期噪声排放执行《工业企业厂界环境噪声排放标准》（GB12348-2008）的</w:t>
            </w:r>
            <w:r>
              <w:rPr>
                <w:rFonts w:hint="eastAsia" w:eastAsia="宋体" w:cs="Times New Roman"/>
                <w:bCs/>
                <w:color w:val="auto"/>
                <w:spacing w:val="8"/>
                <w:sz w:val="24"/>
                <w:highlight w:val="none"/>
                <w:lang w:val="en-US" w:eastAsia="zh-CN"/>
              </w:rPr>
              <w:t>3</w:t>
            </w:r>
            <w:r>
              <w:rPr>
                <w:rFonts w:hint="default" w:ascii="Times New Roman" w:hAnsi="Times New Roman" w:eastAsia="宋体" w:cs="Times New Roman"/>
                <w:bCs/>
                <w:color w:val="auto"/>
                <w:spacing w:val="8"/>
                <w:sz w:val="24"/>
                <w:highlight w:val="none"/>
              </w:rPr>
              <w:t>类标准，即昼间≤</w:t>
            </w:r>
            <w:r>
              <w:rPr>
                <w:rFonts w:hint="eastAsia" w:eastAsia="宋体" w:cs="Times New Roman"/>
                <w:bCs/>
                <w:color w:val="auto"/>
                <w:spacing w:val="8"/>
                <w:sz w:val="24"/>
                <w:highlight w:val="none"/>
                <w:lang w:val="en-US" w:eastAsia="zh-CN"/>
              </w:rPr>
              <w:t>65</w:t>
            </w:r>
            <w:r>
              <w:rPr>
                <w:rFonts w:hint="default" w:ascii="Times New Roman" w:hAnsi="Times New Roman" w:eastAsia="宋体" w:cs="Times New Roman"/>
                <w:bCs/>
                <w:color w:val="auto"/>
                <w:spacing w:val="8"/>
                <w:sz w:val="24"/>
                <w:highlight w:val="none"/>
              </w:rPr>
              <w:t>dB(A)，夜间≤</w:t>
            </w:r>
            <w:r>
              <w:rPr>
                <w:rFonts w:hint="eastAsia" w:eastAsia="宋体" w:cs="Times New Roman"/>
                <w:bCs/>
                <w:color w:val="auto"/>
                <w:spacing w:val="8"/>
                <w:sz w:val="24"/>
                <w:highlight w:val="none"/>
                <w:lang w:val="en-US" w:eastAsia="zh-CN"/>
              </w:rPr>
              <w:t>55</w:t>
            </w:r>
            <w:r>
              <w:rPr>
                <w:rFonts w:hint="default" w:ascii="Times New Roman" w:hAnsi="Times New Roman" w:eastAsia="宋体" w:cs="Times New Roman"/>
                <w:bCs/>
                <w:color w:val="auto"/>
                <w:spacing w:val="8"/>
                <w:sz w:val="24"/>
                <w:highlight w:val="none"/>
              </w:rPr>
              <w:t>dB(A)。</w:t>
            </w:r>
          </w:p>
          <w:p w14:paraId="3AFA452E">
            <w:pPr>
              <w:keepNext w:val="0"/>
              <w:keepLines w:val="0"/>
              <w:pageBreakBefore w:val="0"/>
              <w:widowControl w:val="0"/>
              <w:wordWrap/>
              <w:topLinePunct w:val="0"/>
              <w:bidi w:val="0"/>
              <w:adjustRightInd w:val="0"/>
              <w:snapToGrid w:val="0"/>
              <w:spacing w:line="360" w:lineRule="auto"/>
              <w:ind w:firstLine="512" w:firstLineChars="200"/>
              <w:rPr>
                <w:rFonts w:hint="default" w:ascii="Times New Roman" w:hAnsi="Times New Roman" w:eastAsia="宋体" w:cs="Times New Roman"/>
                <w:bCs/>
                <w:color w:val="auto"/>
                <w:spacing w:val="8"/>
                <w:sz w:val="24"/>
                <w:highlight w:val="none"/>
              </w:rPr>
            </w:pPr>
            <w:r>
              <w:rPr>
                <w:rFonts w:hint="default" w:ascii="Times New Roman" w:hAnsi="Times New Roman" w:eastAsia="宋体" w:cs="Times New Roman"/>
                <w:bCs/>
                <w:color w:val="auto"/>
                <w:spacing w:val="8"/>
                <w:sz w:val="24"/>
                <w:highlight w:val="none"/>
              </w:rPr>
              <w:t>（</w:t>
            </w:r>
            <w:r>
              <w:rPr>
                <w:rFonts w:hint="default" w:ascii="Times New Roman" w:hAnsi="Times New Roman" w:eastAsia="宋体" w:cs="Times New Roman"/>
                <w:bCs/>
                <w:color w:val="auto"/>
                <w:spacing w:val="8"/>
                <w:sz w:val="24"/>
                <w:highlight w:val="none"/>
                <w:lang w:val="en-US" w:eastAsia="zh-CN"/>
              </w:rPr>
              <w:t>3</w:t>
            </w:r>
            <w:r>
              <w:rPr>
                <w:rFonts w:hint="default" w:ascii="Times New Roman" w:hAnsi="Times New Roman" w:eastAsia="宋体" w:cs="Times New Roman"/>
                <w:bCs/>
                <w:color w:val="auto"/>
                <w:spacing w:val="8"/>
                <w:sz w:val="24"/>
                <w:highlight w:val="none"/>
              </w:rPr>
              <w:t>）</w:t>
            </w:r>
            <w:r>
              <w:rPr>
                <w:rFonts w:hint="default" w:ascii="Times New Roman" w:hAnsi="Times New Roman" w:eastAsia="宋体" w:cs="Times New Roman"/>
                <w:bCs/>
                <w:color w:val="auto"/>
                <w:spacing w:val="8"/>
                <w:sz w:val="24"/>
                <w:highlight w:val="none"/>
                <w:lang w:eastAsia="zh-CN"/>
              </w:rPr>
              <w:t>固废：</w:t>
            </w:r>
            <w:r>
              <w:rPr>
                <w:rFonts w:hint="default" w:ascii="Times New Roman" w:hAnsi="Times New Roman" w:eastAsia="宋体" w:cs="Times New Roman"/>
                <w:bCs/>
                <w:color w:val="auto"/>
                <w:spacing w:val="8"/>
                <w:sz w:val="24"/>
                <w:highlight w:val="none"/>
              </w:rPr>
              <w:t>一般固体废物执行《</w:t>
            </w:r>
            <w:r>
              <w:rPr>
                <w:rFonts w:hint="default" w:ascii="Times New Roman" w:hAnsi="Times New Roman" w:eastAsia="宋体" w:cs="Times New Roman"/>
                <w:bCs/>
                <w:color w:val="auto"/>
                <w:spacing w:val="8"/>
                <w:sz w:val="24"/>
                <w:highlight w:val="none"/>
              </w:rPr>
              <w:fldChar w:fldCharType="begin"/>
            </w:r>
            <w:r>
              <w:rPr>
                <w:rFonts w:hint="default" w:ascii="Times New Roman" w:hAnsi="Times New Roman" w:eastAsia="宋体" w:cs="Times New Roman"/>
                <w:bCs/>
                <w:color w:val="auto"/>
                <w:spacing w:val="8"/>
                <w:sz w:val="24"/>
                <w:highlight w:val="none"/>
              </w:rPr>
              <w:instrText xml:space="preserve"> HYPERLINK "https://www.so.com/link?m=bqwAVNthN+1bqYKNSpFFlntvcwMFO91KvrSux7dc8B9VVpAw1g1tPT6A7O+BuGXWGLutqCR9+vDDbhvC3wpabpRu1qdUS76BaPQhf3dveT69HOyEw2oLVHivgMHIgiMz5MWcEQA==" \t "https://www.so.com/_blank" </w:instrText>
            </w:r>
            <w:r>
              <w:rPr>
                <w:rFonts w:hint="default" w:ascii="Times New Roman" w:hAnsi="Times New Roman" w:eastAsia="宋体" w:cs="Times New Roman"/>
                <w:bCs/>
                <w:color w:val="auto"/>
                <w:spacing w:val="8"/>
                <w:sz w:val="24"/>
                <w:highlight w:val="none"/>
              </w:rPr>
              <w:fldChar w:fldCharType="separate"/>
            </w:r>
            <w:r>
              <w:rPr>
                <w:rFonts w:hint="default" w:ascii="Times New Roman" w:hAnsi="Times New Roman" w:eastAsia="宋体" w:cs="Times New Roman"/>
                <w:bCs/>
                <w:color w:val="auto"/>
                <w:spacing w:val="8"/>
                <w:sz w:val="24"/>
                <w:highlight w:val="none"/>
              </w:rPr>
              <w:t>一般工业固体废物贮存和填埋污染控制标准</w:t>
            </w:r>
            <w:r>
              <w:rPr>
                <w:rFonts w:hint="default" w:ascii="Times New Roman" w:hAnsi="Times New Roman" w:eastAsia="宋体" w:cs="Times New Roman"/>
                <w:bCs/>
                <w:color w:val="auto"/>
                <w:spacing w:val="8"/>
                <w:sz w:val="24"/>
                <w:highlight w:val="none"/>
              </w:rPr>
              <w:fldChar w:fldCharType="end"/>
            </w:r>
            <w:r>
              <w:rPr>
                <w:rFonts w:hint="default" w:ascii="Times New Roman" w:hAnsi="Times New Roman" w:eastAsia="宋体" w:cs="Times New Roman"/>
                <w:bCs/>
                <w:color w:val="auto"/>
                <w:spacing w:val="8"/>
                <w:sz w:val="24"/>
                <w:highlight w:val="none"/>
              </w:rPr>
              <w:t>》（GB18599-2020）</w:t>
            </w:r>
            <w:r>
              <w:rPr>
                <w:rFonts w:hint="default" w:ascii="Times New Roman" w:hAnsi="Times New Roman" w:eastAsia="宋体" w:cs="Times New Roman"/>
                <w:bCs/>
                <w:color w:val="auto"/>
                <w:spacing w:val="8"/>
                <w:sz w:val="24"/>
                <w:highlight w:val="none"/>
                <w:lang w:eastAsia="zh-CN"/>
              </w:rPr>
              <w:t>有关规定</w:t>
            </w:r>
            <w:r>
              <w:rPr>
                <w:rFonts w:hint="default" w:ascii="Times New Roman" w:hAnsi="Times New Roman" w:eastAsia="宋体" w:cs="Times New Roman"/>
                <w:bCs/>
                <w:color w:val="auto"/>
                <w:spacing w:val="8"/>
                <w:sz w:val="24"/>
                <w:highlight w:val="none"/>
                <w:lang w:val="en-US" w:eastAsia="zh-CN"/>
              </w:rPr>
              <w:t>。</w:t>
            </w:r>
            <w:r>
              <w:rPr>
                <w:rFonts w:hint="default" w:ascii="Times New Roman" w:hAnsi="Times New Roman" w:eastAsia="宋体" w:cs="Times New Roman"/>
                <w:bCs/>
                <w:color w:val="auto"/>
                <w:spacing w:val="8"/>
                <w:sz w:val="24"/>
                <w:highlight w:val="none"/>
                <w:lang w:eastAsia="zh-CN"/>
              </w:rPr>
              <w:t>危险废物执行</w:t>
            </w:r>
            <w:r>
              <w:rPr>
                <w:rFonts w:hint="default" w:ascii="Times New Roman" w:hAnsi="Times New Roman" w:eastAsia="宋体" w:cs="Times New Roman"/>
                <w:bCs/>
                <w:color w:val="auto"/>
                <w:spacing w:val="8"/>
                <w:sz w:val="24"/>
                <w:highlight w:val="none"/>
                <w:lang w:val="en-US" w:eastAsia="zh-CN"/>
              </w:rPr>
              <w:t>《危险废物贮存污染控制标准》（GB18597-202</w:t>
            </w:r>
            <w:r>
              <w:rPr>
                <w:rFonts w:hint="eastAsia" w:eastAsia="宋体" w:cs="Times New Roman"/>
                <w:bCs/>
                <w:color w:val="auto"/>
                <w:spacing w:val="8"/>
                <w:sz w:val="24"/>
                <w:highlight w:val="none"/>
                <w:lang w:val="en-US" w:eastAsia="zh-CN"/>
              </w:rPr>
              <w:t>3</w:t>
            </w:r>
            <w:r>
              <w:rPr>
                <w:rFonts w:hint="default" w:ascii="Times New Roman" w:hAnsi="Times New Roman" w:eastAsia="宋体" w:cs="Times New Roman"/>
                <w:bCs/>
                <w:color w:val="auto"/>
                <w:spacing w:val="8"/>
                <w:sz w:val="24"/>
                <w:highlight w:val="none"/>
                <w:lang w:val="en-US" w:eastAsia="zh-CN"/>
              </w:rPr>
              <w:t>）相关要求。</w:t>
            </w:r>
          </w:p>
          <w:p w14:paraId="71095EEF">
            <w:pPr>
              <w:keepNext w:val="0"/>
              <w:keepLines w:val="0"/>
              <w:pageBreakBefore w:val="0"/>
              <w:widowControl w:val="0"/>
              <w:wordWrap/>
              <w:topLinePunct w:val="0"/>
              <w:bidi w:val="0"/>
              <w:adjustRightInd w:val="0"/>
              <w:snapToGrid w:val="0"/>
              <w:spacing w:line="360" w:lineRule="auto"/>
              <w:ind w:firstLine="512" w:firstLineChars="200"/>
              <w:rPr>
                <w:rFonts w:hint="default" w:ascii="Times New Roman" w:hAnsi="Times New Roman" w:cs="Times New Roman"/>
                <w:color w:val="auto"/>
                <w:highlight w:val="none"/>
              </w:rPr>
            </w:pPr>
            <w:r>
              <w:rPr>
                <w:rFonts w:hint="default" w:ascii="Times New Roman" w:hAnsi="Times New Roman" w:eastAsia="宋体" w:cs="Times New Roman"/>
                <w:bCs/>
                <w:color w:val="auto"/>
                <w:spacing w:val="8"/>
                <w:sz w:val="24"/>
                <w:highlight w:val="none"/>
                <w:lang w:eastAsia="zh-CN"/>
              </w:rPr>
              <w:t>（</w:t>
            </w:r>
            <w:r>
              <w:rPr>
                <w:rFonts w:hint="default" w:ascii="Times New Roman" w:hAnsi="Times New Roman" w:eastAsia="宋体" w:cs="Times New Roman"/>
                <w:bCs/>
                <w:color w:val="auto"/>
                <w:spacing w:val="8"/>
                <w:sz w:val="24"/>
                <w:highlight w:val="none"/>
                <w:lang w:val="en-US" w:eastAsia="zh-CN"/>
              </w:rPr>
              <w:t>4</w:t>
            </w:r>
            <w:r>
              <w:rPr>
                <w:rFonts w:hint="default" w:ascii="Times New Roman" w:hAnsi="Times New Roman" w:eastAsia="宋体" w:cs="Times New Roman"/>
                <w:bCs/>
                <w:color w:val="auto"/>
                <w:spacing w:val="8"/>
                <w:sz w:val="24"/>
                <w:highlight w:val="none"/>
                <w:lang w:eastAsia="zh-CN"/>
              </w:rPr>
              <w:t>）</w:t>
            </w:r>
            <w:r>
              <w:rPr>
                <w:rFonts w:hint="default" w:ascii="Times New Roman" w:hAnsi="Times New Roman" w:eastAsia="宋体" w:cs="Times New Roman"/>
                <w:bCs/>
                <w:color w:val="auto"/>
                <w:spacing w:val="8"/>
                <w:sz w:val="24"/>
                <w:highlight w:val="none"/>
              </w:rPr>
              <w:t>工频电场、磁感应强度</w:t>
            </w:r>
            <w:r>
              <w:rPr>
                <w:rFonts w:hint="default" w:ascii="Times New Roman" w:hAnsi="Times New Roman" w:eastAsia="宋体" w:cs="Times New Roman"/>
                <w:bCs/>
                <w:color w:val="auto"/>
                <w:spacing w:val="8"/>
                <w:sz w:val="24"/>
                <w:highlight w:val="none"/>
                <w:lang w:val="en-US" w:eastAsia="zh-CN"/>
              </w:rPr>
              <w:t>：《电磁环境控制限值》(GB8702-2014)中的(电场强度≤4000V/m；磁感应强度≤100μT)。</w:t>
            </w:r>
          </w:p>
        </w:tc>
      </w:tr>
      <w:tr w14:paraId="08462F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294" w:type="pct"/>
            <w:noWrap w:val="0"/>
            <w:vAlign w:val="center"/>
          </w:tcPr>
          <w:p w14:paraId="6D334D02">
            <w:pPr>
              <w:keepNext w:val="0"/>
              <w:keepLines w:val="0"/>
              <w:pageBreakBefore w:val="0"/>
              <w:widowControl w:val="0"/>
              <w:wordWrap/>
              <w:topLinePunct w:val="0"/>
              <w:bidi w:val="0"/>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其他</w:t>
            </w:r>
          </w:p>
        </w:tc>
        <w:tc>
          <w:tcPr>
            <w:tcW w:w="4705" w:type="pct"/>
            <w:noWrap w:val="0"/>
            <w:vAlign w:val="center"/>
          </w:tcPr>
          <w:p w14:paraId="1A1C057E">
            <w:pPr>
              <w:pStyle w:val="17"/>
              <w:keepNext w:val="0"/>
              <w:keepLines w:val="0"/>
              <w:pageBreakBefore w:val="0"/>
              <w:widowControl w:val="0"/>
              <w:wordWrap/>
              <w:topLinePunct w:val="0"/>
              <w:bidi w:val="0"/>
              <w:ind w:left="0" w:leftChars="0" w:firstLine="960" w:firstLineChars="400"/>
              <w:rPr>
                <w:rFonts w:hint="default" w:ascii="Times New Roman" w:hAnsi="Times New Roman" w:cs="Times New Roman"/>
                <w:color w:val="auto"/>
                <w:sz w:val="24"/>
                <w:szCs w:val="24"/>
                <w:highlight w:val="none"/>
                <w:lang w:val="en-US" w:eastAsia="zh-CN"/>
              </w:rPr>
            </w:pPr>
          </w:p>
          <w:p w14:paraId="014BF8B9">
            <w:pPr>
              <w:rPr>
                <w:rFonts w:hint="default"/>
                <w:lang w:val="en-US" w:eastAsia="zh-CN"/>
              </w:rPr>
            </w:pPr>
          </w:p>
          <w:p w14:paraId="08B6D0FB">
            <w:pPr>
              <w:rPr>
                <w:rFonts w:hint="default"/>
                <w:lang w:val="en-US" w:eastAsia="zh-CN"/>
              </w:rPr>
            </w:pPr>
          </w:p>
          <w:p w14:paraId="54682972">
            <w:pPr>
              <w:rPr>
                <w:rFonts w:hint="default"/>
                <w:lang w:val="en-US" w:eastAsia="zh-CN"/>
              </w:rPr>
            </w:pPr>
          </w:p>
          <w:p w14:paraId="74FC93CA">
            <w:pPr>
              <w:pStyle w:val="17"/>
              <w:keepNext w:val="0"/>
              <w:keepLines w:val="0"/>
              <w:pageBreakBefore w:val="0"/>
              <w:widowControl w:val="0"/>
              <w:wordWrap/>
              <w:topLinePunct w:val="0"/>
              <w:bidi w:val="0"/>
              <w:ind w:left="0" w:leftChars="0"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无。</w:t>
            </w:r>
          </w:p>
          <w:p w14:paraId="48BECD3E">
            <w:pPr>
              <w:pStyle w:val="9"/>
              <w:rPr>
                <w:rFonts w:hint="default"/>
                <w:lang w:val="en-US" w:eastAsia="zh-CN"/>
              </w:rPr>
            </w:pPr>
          </w:p>
          <w:p w14:paraId="29D71E7E">
            <w:pPr>
              <w:rPr>
                <w:rFonts w:hint="default"/>
                <w:lang w:val="en-US" w:eastAsia="zh-CN"/>
              </w:rPr>
            </w:pPr>
          </w:p>
          <w:p w14:paraId="3F8B8625">
            <w:pPr>
              <w:rPr>
                <w:rFonts w:hint="default"/>
                <w:lang w:val="en-US" w:eastAsia="zh-CN"/>
              </w:rPr>
            </w:pPr>
          </w:p>
          <w:p w14:paraId="003E435A">
            <w:pPr>
              <w:rPr>
                <w:rFonts w:hint="default"/>
                <w:lang w:val="en-US" w:eastAsia="zh-CN"/>
              </w:rPr>
            </w:pPr>
          </w:p>
          <w:p w14:paraId="3DE78E42">
            <w:pPr>
              <w:rPr>
                <w:rFonts w:hint="default"/>
                <w:lang w:val="en-US" w:eastAsia="zh-CN"/>
              </w:rPr>
            </w:pPr>
          </w:p>
          <w:p w14:paraId="44DD704C">
            <w:pPr>
              <w:rPr>
                <w:rFonts w:hint="default"/>
                <w:lang w:val="en-US" w:eastAsia="zh-CN"/>
              </w:rPr>
            </w:pPr>
          </w:p>
          <w:p w14:paraId="6EBC2D7C">
            <w:pPr>
              <w:pStyle w:val="23"/>
              <w:rPr>
                <w:rFonts w:hint="default"/>
                <w:lang w:val="en-US" w:eastAsia="zh-CN"/>
              </w:rPr>
            </w:pPr>
          </w:p>
        </w:tc>
      </w:tr>
    </w:tbl>
    <w:p w14:paraId="7C6D76E9">
      <w:pPr>
        <w:pStyle w:val="16"/>
        <w:keepNext w:val="0"/>
        <w:keepLines w:val="0"/>
        <w:pageBreakBefore w:val="0"/>
        <w:widowControl w:val="0"/>
        <w:wordWrap/>
        <w:topLinePunct w:val="0"/>
        <w:bidi w:val="0"/>
        <w:jc w:val="center"/>
        <w:outlineLvl w:val="0"/>
        <w:rPr>
          <w:rFonts w:hint="default" w:ascii="Times New Roman" w:hAnsi="Times New Roman" w:eastAsia="黑体" w:cs="Times New Roman"/>
          <w:snapToGrid w:val="0"/>
          <w:color w:val="auto"/>
          <w:sz w:val="30"/>
          <w:szCs w:val="30"/>
          <w:highlight w:val="none"/>
        </w:rPr>
      </w:pPr>
      <w:bookmarkStart w:id="17" w:name="_Toc28471"/>
      <w:r>
        <w:rPr>
          <w:rFonts w:hint="default" w:ascii="Times New Roman" w:hAnsi="Times New Roman" w:eastAsia="黑体" w:cs="Times New Roman"/>
          <w:snapToGrid w:val="0"/>
          <w:color w:val="auto"/>
          <w:sz w:val="30"/>
          <w:szCs w:val="30"/>
          <w:highlight w:val="none"/>
        </w:rPr>
        <w:t>四、生态环境影响分析</w:t>
      </w:r>
      <w:bookmarkEnd w:id="17"/>
    </w:p>
    <w:tbl>
      <w:tblPr>
        <w:tblStyle w:val="1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3"/>
        <w:gridCol w:w="8009"/>
      </w:tblGrid>
      <w:tr w14:paraId="652B27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96" w:hRule="atLeast"/>
          <w:jc w:val="center"/>
        </w:trPr>
        <w:tc>
          <w:tcPr>
            <w:tcW w:w="256" w:type="pct"/>
            <w:noWrap w:val="0"/>
            <w:tcMar>
              <w:left w:w="28" w:type="dxa"/>
              <w:right w:w="28" w:type="dxa"/>
            </w:tcMar>
            <w:vAlign w:val="center"/>
          </w:tcPr>
          <w:p w14:paraId="6020502F">
            <w:pPr>
              <w:pStyle w:val="16"/>
              <w:keepNext w:val="0"/>
              <w:keepLines w:val="0"/>
              <w:pageBreakBefore w:val="0"/>
              <w:widowControl w:val="0"/>
              <w:wordWrap/>
              <w:topLinePunct w:val="0"/>
              <w:bidi w:val="0"/>
              <w:adjustRightInd w:val="0"/>
              <w:snapToGrid w:val="0"/>
              <w:spacing w:before="0" w:beforeAutospacing="0" w:after="0" w:afterAutospacing="0"/>
              <w:jc w:val="center"/>
              <w:rPr>
                <w:rFonts w:hint="default" w:ascii="Times New Roman" w:hAnsi="Times New Roman" w:cs="Times New Roman"/>
                <w:bCs/>
                <w:color w:val="auto"/>
                <w:kern w:val="2"/>
                <w:sz w:val="21"/>
                <w:szCs w:val="21"/>
                <w:highlight w:val="none"/>
              </w:rPr>
            </w:pPr>
            <w:bookmarkStart w:id="18" w:name="_Hlk49796138"/>
            <w:r>
              <w:rPr>
                <w:rFonts w:hint="default" w:ascii="Times New Roman" w:hAnsi="Times New Roman" w:cs="Times New Roman"/>
                <w:bCs/>
                <w:color w:val="auto"/>
                <w:spacing w:val="10"/>
                <w:kern w:val="2"/>
                <w:sz w:val="24"/>
                <w:szCs w:val="24"/>
                <w:highlight w:val="none"/>
              </w:rPr>
              <w:t>施工期生态环境影响分析</w:t>
            </w:r>
            <w:bookmarkEnd w:id="18"/>
          </w:p>
        </w:tc>
        <w:tc>
          <w:tcPr>
            <w:tcW w:w="4743" w:type="pct"/>
            <w:noWrap w:val="0"/>
            <w:vAlign w:val="top"/>
          </w:tcPr>
          <w:p w14:paraId="358CFC0A">
            <w:pPr>
              <w:keepNext w:val="0"/>
              <w:keepLines w:val="0"/>
              <w:pageBreakBefore w:val="0"/>
              <w:widowControl w:val="0"/>
              <w:wordWrap/>
              <w:topLinePunct w:val="0"/>
              <w:bidi w:val="0"/>
              <w:spacing w:before="120" w:beforeLines="50" w:line="360" w:lineRule="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1.</w:t>
            </w:r>
            <w:r>
              <w:rPr>
                <w:rFonts w:hint="default" w:ascii="Times New Roman" w:hAnsi="Times New Roman" w:cs="Times New Roman"/>
                <w:b/>
                <w:bCs/>
                <w:color w:val="auto"/>
                <w:sz w:val="24"/>
                <w:szCs w:val="24"/>
                <w:highlight w:val="none"/>
              </w:rPr>
              <w:t>施工期</w:t>
            </w:r>
            <w:r>
              <w:rPr>
                <w:rFonts w:hint="default" w:ascii="Times New Roman" w:hAnsi="Times New Roman" w:cs="Times New Roman"/>
                <w:b/>
                <w:bCs/>
                <w:color w:val="auto"/>
                <w:sz w:val="24"/>
                <w:szCs w:val="24"/>
                <w:highlight w:val="none"/>
                <w:lang w:val="en-US" w:eastAsia="zh-CN"/>
              </w:rPr>
              <w:t>环境</w:t>
            </w:r>
            <w:r>
              <w:rPr>
                <w:rFonts w:hint="default" w:ascii="Times New Roman" w:hAnsi="Times New Roman" w:cs="Times New Roman"/>
                <w:b/>
                <w:bCs/>
                <w:color w:val="auto"/>
                <w:sz w:val="24"/>
                <w:szCs w:val="24"/>
                <w:highlight w:val="none"/>
              </w:rPr>
              <w:t>影响分析</w:t>
            </w:r>
          </w:p>
          <w:p w14:paraId="33B6500D">
            <w:pPr>
              <w:pStyle w:val="23"/>
              <w:keepNext w:val="0"/>
              <w:keepLines w:val="0"/>
              <w:pageBreakBefore w:val="0"/>
              <w:widowControl w:val="0"/>
              <w:tabs>
                <w:tab w:val="left" w:pos="1539"/>
                <w:tab w:val="center" w:pos="4329"/>
              </w:tabs>
              <w:wordWrap/>
              <w:topLinePunct w:val="0"/>
              <w:bidi w:val="0"/>
              <w:spacing w:line="360" w:lineRule="auto"/>
              <w:jc w:val="left"/>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 xml:space="preserve">    施工期环境影响分析见表4-1。</w:t>
            </w:r>
          </w:p>
          <w:p w14:paraId="40D6821D">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w:t>
            </w:r>
            <w:r>
              <w:rPr>
                <w:rFonts w:hint="default" w:ascii="Times New Roman" w:hAnsi="Times New Roman" w:cs="Times New Roman"/>
                <w:b/>
                <w:bCs/>
                <w:color w:val="auto"/>
                <w:highlight w:val="none"/>
                <w:lang w:val="en-US" w:eastAsia="zh-CN"/>
              </w:rPr>
              <w:t>4-1</w:t>
            </w:r>
            <w:r>
              <w:rPr>
                <w:rFonts w:hint="default" w:ascii="Times New Roman" w:hAnsi="Times New Roman" w:cs="Times New Roman"/>
                <w:b/>
                <w:bCs/>
                <w:color w:val="auto"/>
                <w:highlight w:val="none"/>
              </w:rPr>
              <w:t xml:space="preserve">         施工期环境影响分析一览表</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629"/>
              <w:gridCol w:w="1502"/>
              <w:gridCol w:w="840"/>
              <w:gridCol w:w="4382"/>
            </w:tblGrid>
            <w:tr w14:paraId="32A42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4" w:type="pct"/>
                  <w:noWrap w:val="0"/>
                  <w:vAlign w:val="center"/>
                </w:tcPr>
                <w:p w14:paraId="6555C95A">
                  <w:pPr>
                    <w:keepNext w:val="0"/>
                    <w:keepLines w:val="0"/>
                    <w:pageBreakBefore w:val="0"/>
                    <w:widowControl w:val="0"/>
                    <w:wordWrap/>
                    <w:topLinePunct w:val="0"/>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阶段</w:t>
                  </w:r>
                </w:p>
              </w:tc>
              <w:tc>
                <w:tcPr>
                  <w:tcW w:w="404" w:type="pct"/>
                  <w:noWrap w:val="0"/>
                  <w:vAlign w:val="center"/>
                </w:tcPr>
                <w:p w14:paraId="1C457312">
                  <w:pPr>
                    <w:keepNext w:val="0"/>
                    <w:keepLines w:val="0"/>
                    <w:pageBreakBefore w:val="0"/>
                    <w:widowControl w:val="0"/>
                    <w:wordWrap/>
                    <w:topLinePunct w:val="0"/>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w:t>
                  </w:r>
                </w:p>
                <w:p w14:paraId="1BCEB8AC">
                  <w:pPr>
                    <w:keepNext w:val="0"/>
                    <w:keepLines w:val="0"/>
                    <w:pageBreakBefore w:val="0"/>
                    <w:widowControl w:val="0"/>
                    <w:wordWrap/>
                    <w:topLinePunct w:val="0"/>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要素</w:t>
                  </w:r>
                </w:p>
              </w:tc>
              <w:tc>
                <w:tcPr>
                  <w:tcW w:w="965" w:type="pct"/>
                  <w:noWrap w:val="0"/>
                  <w:vAlign w:val="center"/>
                </w:tcPr>
                <w:p w14:paraId="009472B8">
                  <w:pPr>
                    <w:keepNext w:val="0"/>
                    <w:keepLines w:val="0"/>
                    <w:pageBreakBefore w:val="0"/>
                    <w:widowControl w:val="0"/>
                    <w:wordWrap/>
                    <w:topLinePunct w:val="0"/>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工程内容</w:t>
                  </w:r>
                </w:p>
              </w:tc>
              <w:tc>
                <w:tcPr>
                  <w:tcW w:w="539" w:type="pct"/>
                  <w:noWrap w:val="0"/>
                  <w:vAlign w:val="center"/>
                </w:tcPr>
                <w:p w14:paraId="0EA48E8C">
                  <w:pPr>
                    <w:keepNext w:val="0"/>
                    <w:keepLines w:val="0"/>
                    <w:pageBreakBefore w:val="0"/>
                    <w:widowControl w:val="0"/>
                    <w:wordWrap/>
                    <w:topLinePunct w:val="0"/>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影响</w:t>
                  </w:r>
                </w:p>
                <w:p w14:paraId="486A41A9">
                  <w:pPr>
                    <w:keepNext w:val="0"/>
                    <w:keepLines w:val="0"/>
                    <w:pageBreakBefore w:val="0"/>
                    <w:widowControl w:val="0"/>
                    <w:wordWrap/>
                    <w:topLinePunct w:val="0"/>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性质</w:t>
                  </w:r>
                </w:p>
              </w:tc>
              <w:tc>
                <w:tcPr>
                  <w:tcW w:w="2816" w:type="pct"/>
                  <w:noWrap w:val="0"/>
                  <w:vAlign w:val="center"/>
                </w:tcPr>
                <w:p w14:paraId="4D3839FF">
                  <w:pPr>
                    <w:keepNext w:val="0"/>
                    <w:keepLines w:val="0"/>
                    <w:pageBreakBefore w:val="0"/>
                    <w:widowControl w:val="0"/>
                    <w:wordWrap/>
                    <w:topLinePunct w:val="0"/>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环境影响</w:t>
                  </w:r>
                </w:p>
              </w:tc>
            </w:tr>
            <w:tr w14:paraId="091A3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4" w:type="pct"/>
                  <w:vMerge w:val="restart"/>
                  <w:noWrap w:val="0"/>
                  <w:vAlign w:val="center"/>
                </w:tcPr>
                <w:p w14:paraId="38ACC71B">
                  <w:pPr>
                    <w:keepNext w:val="0"/>
                    <w:keepLines w:val="0"/>
                    <w:pageBreakBefore w:val="0"/>
                    <w:widowControl w:val="0"/>
                    <w:wordWrap/>
                    <w:topLinePunct w:val="0"/>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施工期</w:t>
                  </w:r>
                </w:p>
              </w:tc>
              <w:tc>
                <w:tcPr>
                  <w:tcW w:w="404" w:type="pct"/>
                  <w:vMerge w:val="restart"/>
                  <w:noWrap w:val="0"/>
                  <w:vAlign w:val="center"/>
                </w:tcPr>
                <w:p w14:paraId="4AA67A24">
                  <w:pPr>
                    <w:keepNext w:val="0"/>
                    <w:keepLines w:val="0"/>
                    <w:pageBreakBefore w:val="0"/>
                    <w:widowControl w:val="0"/>
                    <w:wordWrap/>
                    <w:topLinePunct w:val="0"/>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w:t>
                  </w:r>
                </w:p>
                <w:p w14:paraId="1B916F52">
                  <w:pPr>
                    <w:keepNext w:val="0"/>
                    <w:keepLines w:val="0"/>
                    <w:pageBreakBefore w:val="0"/>
                    <w:widowControl w:val="0"/>
                    <w:wordWrap/>
                    <w:topLinePunct w:val="0"/>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空气</w:t>
                  </w:r>
                </w:p>
              </w:tc>
              <w:tc>
                <w:tcPr>
                  <w:tcW w:w="965" w:type="pct"/>
                  <w:noWrap w:val="0"/>
                  <w:vAlign w:val="center"/>
                </w:tcPr>
                <w:p w14:paraId="450C357B">
                  <w:pPr>
                    <w:keepNext w:val="0"/>
                    <w:keepLines w:val="0"/>
                    <w:pageBreakBefore w:val="0"/>
                    <w:widowControl w:val="0"/>
                    <w:wordWrap/>
                    <w:topLinePunct w:val="0"/>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施工扬尘</w:t>
                  </w:r>
                </w:p>
              </w:tc>
              <w:tc>
                <w:tcPr>
                  <w:tcW w:w="539" w:type="pct"/>
                  <w:vMerge w:val="restart"/>
                  <w:noWrap w:val="0"/>
                  <w:vAlign w:val="center"/>
                </w:tcPr>
                <w:p w14:paraId="6AC76818">
                  <w:pPr>
                    <w:keepNext w:val="0"/>
                    <w:keepLines w:val="0"/>
                    <w:pageBreakBefore w:val="0"/>
                    <w:widowControl w:val="0"/>
                    <w:wordWrap/>
                    <w:topLinePunct w:val="0"/>
                    <w:bidi w:val="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短期</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可逆</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不利</w:t>
                  </w:r>
                </w:p>
              </w:tc>
              <w:tc>
                <w:tcPr>
                  <w:tcW w:w="2816" w:type="pct"/>
                  <w:noWrap w:val="0"/>
                  <w:vAlign w:val="center"/>
                </w:tcPr>
                <w:p w14:paraId="12014BFC">
                  <w:pPr>
                    <w:keepNext w:val="0"/>
                    <w:keepLines w:val="0"/>
                    <w:pageBreakBefore w:val="0"/>
                    <w:widowControl w:val="0"/>
                    <w:wordWrap/>
                    <w:topLinePunct w:val="0"/>
                    <w:bidi w:val="0"/>
                    <w:jc w:val="both"/>
                    <w:rPr>
                      <w:rFonts w:hint="default" w:ascii="Times New Roman" w:hAnsi="Times New Roman" w:cs="Times New Roman"/>
                      <w:color w:val="auto"/>
                      <w:sz w:val="21"/>
                      <w:szCs w:val="21"/>
                      <w:highlight w:val="none"/>
                      <w:lang w:eastAsia="zh-CN"/>
                    </w:rPr>
                  </w:pPr>
                  <w:r>
                    <w:rPr>
                      <w:rFonts w:hint="default" w:ascii="Times New Roman" w:hAnsi="Times New Roman" w:cs="Times New Roman"/>
                      <w:snapToGrid w:val="0"/>
                      <w:color w:val="auto"/>
                      <w:spacing w:val="-6"/>
                      <w:sz w:val="21"/>
                      <w:szCs w:val="21"/>
                      <w:highlight w:val="none"/>
                    </w:rPr>
                    <w:t>施工扬尘主要集中在</w:t>
                  </w:r>
                  <w:r>
                    <w:rPr>
                      <w:rFonts w:hint="default" w:ascii="Times New Roman" w:hAnsi="Times New Roman" w:cs="Times New Roman"/>
                      <w:snapToGrid w:val="0"/>
                      <w:color w:val="auto"/>
                      <w:spacing w:val="-6"/>
                      <w:sz w:val="21"/>
                      <w:szCs w:val="21"/>
                      <w:highlight w:val="none"/>
                      <w:lang w:val="en-US" w:eastAsia="zh-CN"/>
                    </w:rPr>
                    <w:t>基础</w:t>
                  </w:r>
                  <w:r>
                    <w:rPr>
                      <w:rFonts w:hint="default" w:ascii="Times New Roman" w:hAnsi="Times New Roman" w:cs="Times New Roman"/>
                      <w:snapToGrid w:val="0"/>
                      <w:color w:val="auto"/>
                      <w:spacing w:val="-6"/>
                      <w:sz w:val="21"/>
                      <w:szCs w:val="21"/>
                      <w:highlight w:val="none"/>
                    </w:rPr>
                    <w:t>施工阶段，</w:t>
                  </w:r>
                  <w:r>
                    <w:rPr>
                      <w:rFonts w:hint="default" w:ascii="Times New Roman" w:hAnsi="Times New Roman" w:cs="Times New Roman"/>
                      <w:snapToGrid w:val="0"/>
                      <w:color w:val="auto"/>
                      <w:spacing w:val="-6"/>
                      <w:sz w:val="21"/>
                      <w:szCs w:val="21"/>
                      <w:highlight w:val="none"/>
                      <w:lang w:val="en-US" w:eastAsia="zh-CN"/>
                    </w:rPr>
                    <w:t>土方开挖、</w:t>
                  </w:r>
                  <w:r>
                    <w:rPr>
                      <w:rFonts w:hint="default" w:ascii="Times New Roman" w:hAnsi="Times New Roman" w:cs="Times New Roman"/>
                      <w:snapToGrid w:val="0"/>
                      <w:color w:val="auto"/>
                      <w:spacing w:val="-6"/>
                      <w:sz w:val="21"/>
                      <w:szCs w:val="21"/>
                      <w:highlight w:val="none"/>
                    </w:rPr>
                    <w:t>材料运输及物料堆放期间可能产生大量扬尘散逸到</w:t>
                  </w:r>
                  <w:r>
                    <w:rPr>
                      <w:rFonts w:hint="default" w:ascii="Times New Roman" w:hAnsi="Times New Roman" w:cs="Times New Roman"/>
                      <w:snapToGrid w:val="0"/>
                      <w:color w:val="auto"/>
                      <w:spacing w:val="-6"/>
                      <w:sz w:val="21"/>
                      <w:szCs w:val="21"/>
                      <w:highlight w:val="none"/>
                      <w:lang w:eastAsia="zh-CN"/>
                    </w:rPr>
                    <w:t>大气环境</w:t>
                  </w:r>
                </w:p>
              </w:tc>
            </w:tr>
            <w:tr w14:paraId="49E2F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4" w:type="pct"/>
                  <w:vMerge w:val="continue"/>
                  <w:noWrap w:val="0"/>
                  <w:vAlign w:val="center"/>
                </w:tcPr>
                <w:p w14:paraId="6A56A2E5">
                  <w:pPr>
                    <w:keepNext w:val="0"/>
                    <w:keepLines w:val="0"/>
                    <w:pageBreakBefore w:val="0"/>
                    <w:widowControl w:val="0"/>
                    <w:wordWrap/>
                    <w:topLinePunct w:val="0"/>
                    <w:bidi w:val="0"/>
                    <w:jc w:val="center"/>
                    <w:rPr>
                      <w:rFonts w:hint="default" w:ascii="Times New Roman" w:hAnsi="Times New Roman" w:cs="Times New Roman"/>
                      <w:color w:val="auto"/>
                      <w:sz w:val="21"/>
                      <w:szCs w:val="21"/>
                      <w:highlight w:val="none"/>
                    </w:rPr>
                  </w:pPr>
                </w:p>
              </w:tc>
              <w:tc>
                <w:tcPr>
                  <w:tcW w:w="404" w:type="pct"/>
                  <w:vMerge w:val="continue"/>
                  <w:noWrap w:val="0"/>
                  <w:vAlign w:val="center"/>
                </w:tcPr>
                <w:p w14:paraId="6FEA23A7">
                  <w:pPr>
                    <w:keepNext w:val="0"/>
                    <w:keepLines w:val="0"/>
                    <w:pageBreakBefore w:val="0"/>
                    <w:widowControl w:val="0"/>
                    <w:wordWrap/>
                    <w:topLinePunct w:val="0"/>
                    <w:bidi w:val="0"/>
                    <w:jc w:val="center"/>
                    <w:rPr>
                      <w:rFonts w:hint="default" w:ascii="Times New Roman" w:hAnsi="Times New Roman" w:cs="Times New Roman"/>
                      <w:color w:val="auto"/>
                      <w:sz w:val="21"/>
                      <w:szCs w:val="21"/>
                      <w:highlight w:val="none"/>
                    </w:rPr>
                  </w:pPr>
                </w:p>
              </w:tc>
              <w:tc>
                <w:tcPr>
                  <w:tcW w:w="965" w:type="pct"/>
                  <w:noWrap w:val="0"/>
                  <w:vAlign w:val="center"/>
                </w:tcPr>
                <w:p w14:paraId="5A00829F">
                  <w:pPr>
                    <w:keepNext w:val="0"/>
                    <w:keepLines w:val="0"/>
                    <w:pageBreakBefore w:val="0"/>
                    <w:widowControl w:val="0"/>
                    <w:wordWrap/>
                    <w:topLinePunct w:val="0"/>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道路扬尘</w:t>
                  </w:r>
                </w:p>
              </w:tc>
              <w:tc>
                <w:tcPr>
                  <w:tcW w:w="539" w:type="pct"/>
                  <w:vMerge w:val="continue"/>
                  <w:noWrap w:val="0"/>
                  <w:vAlign w:val="center"/>
                </w:tcPr>
                <w:p w14:paraId="28E0111A">
                  <w:pPr>
                    <w:keepNext w:val="0"/>
                    <w:keepLines w:val="0"/>
                    <w:pageBreakBefore w:val="0"/>
                    <w:widowControl w:val="0"/>
                    <w:wordWrap/>
                    <w:topLinePunct w:val="0"/>
                    <w:bidi w:val="0"/>
                    <w:jc w:val="both"/>
                    <w:rPr>
                      <w:rFonts w:hint="default" w:ascii="Times New Roman" w:hAnsi="Times New Roman" w:cs="Times New Roman"/>
                      <w:color w:val="auto"/>
                      <w:sz w:val="21"/>
                      <w:szCs w:val="21"/>
                      <w:highlight w:val="none"/>
                    </w:rPr>
                  </w:pPr>
                </w:p>
              </w:tc>
              <w:tc>
                <w:tcPr>
                  <w:tcW w:w="2816" w:type="pct"/>
                  <w:noWrap w:val="0"/>
                  <w:vAlign w:val="center"/>
                </w:tcPr>
                <w:p w14:paraId="43AD1B5A">
                  <w:pPr>
                    <w:keepNext w:val="0"/>
                    <w:keepLines w:val="0"/>
                    <w:pageBreakBefore w:val="0"/>
                    <w:widowControl w:val="0"/>
                    <w:wordWrap/>
                    <w:topLinePunct w:val="0"/>
                    <w:bidi w:val="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施工期设备、材料运输过程中车辆的往来将产生道路二次扬尘污染，运输车辆的行驶速度越快，扬尘产生量越大。</w:t>
                  </w:r>
                </w:p>
              </w:tc>
            </w:tr>
            <w:tr w14:paraId="605DB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274" w:type="pct"/>
                  <w:vMerge w:val="continue"/>
                  <w:noWrap w:val="0"/>
                  <w:vAlign w:val="center"/>
                </w:tcPr>
                <w:p w14:paraId="3E2D619B">
                  <w:pPr>
                    <w:keepNext w:val="0"/>
                    <w:keepLines w:val="0"/>
                    <w:pageBreakBefore w:val="0"/>
                    <w:widowControl w:val="0"/>
                    <w:wordWrap/>
                    <w:topLinePunct w:val="0"/>
                    <w:bidi w:val="0"/>
                    <w:jc w:val="center"/>
                    <w:rPr>
                      <w:rFonts w:hint="default" w:ascii="Times New Roman" w:hAnsi="Times New Roman" w:cs="Times New Roman"/>
                      <w:color w:val="auto"/>
                      <w:sz w:val="21"/>
                      <w:szCs w:val="21"/>
                      <w:highlight w:val="none"/>
                    </w:rPr>
                  </w:pPr>
                </w:p>
              </w:tc>
              <w:tc>
                <w:tcPr>
                  <w:tcW w:w="404" w:type="pct"/>
                  <w:vMerge w:val="continue"/>
                  <w:noWrap w:val="0"/>
                  <w:vAlign w:val="center"/>
                </w:tcPr>
                <w:p w14:paraId="28DAD18C">
                  <w:pPr>
                    <w:keepNext w:val="0"/>
                    <w:keepLines w:val="0"/>
                    <w:pageBreakBefore w:val="0"/>
                    <w:widowControl w:val="0"/>
                    <w:wordWrap/>
                    <w:topLinePunct w:val="0"/>
                    <w:bidi w:val="0"/>
                    <w:jc w:val="center"/>
                    <w:rPr>
                      <w:rFonts w:hint="default" w:ascii="Times New Roman" w:hAnsi="Times New Roman" w:cs="Times New Roman"/>
                      <w:color w:val="auto"/>
                      <w:sz w:val="21"/>
                      <w:szCs w:val="21"/>
                      <w:highlight w:val="none"/>
                    </w:rPr>
                  </w:pPr>
                </w:p>
              </w:tc>
              <w:tc>
                <w:tcPr>
                  <w:tcW w:w="965" w:type="pct"/>
                  <w:noWrap w:val="0"/>
                  <w:vAlign w:val="center"/>
                </w:tcPr>
                <w:p w14:paraId="426C042E">
                  <w:pPr>
                    <w:keepNext w:val="0"/>
                    <w:keepLines w:val="0"/>
                    <w:pageBreakBefore w:val="0"/>
                    <w:widowControl w:val="0"/>
                    <w:wordWrap/>
                    <w:topLinePunct w:val="0"/>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施工机械及运输车辆产生的尾气</w:t>
                  </w:r>
                </w:p>
              </w:tc>
              <w:tc>
                <w:tcPr>
                  <w:tcW w:w="539" w:type="pct"/>
                  <w:vMerge w:val="continue"/>
                  <w:noWrap w:val="0"/>
                  <w:vAlign w:val="center"/>
                </w:tcPr>
                <w:p w14:paraId="74D81C3A">
                  <w:pPr>
                    <w:keepNext w:val="0"/>
                    <w:keepLines w:val="0"/>
                    <w:pageBreakBefore w:val="0"/>
                    <w:widowControl w:val="0"/>
                    <w:wordWrap/>
                    <w:topLinePunct w:val="0"/>
                    <w:bidi w:val="0"/>
                    <w:jc w:val="both"/>
                    <w:rPr>
                      <w:rFonts w:hint="default" w:ascii="Times New Roman" w:hAnsi="Times New Roman" w:cs="Times New Roman"/>
                      <w:color w:val="auto"/>
                      <w:sz w:val="21"/>
                      <w:szCs w:val="21"/>
                      <w:highlight w:val="none"/>
                    </w:rPr>
                  </w:pPr>
                </w:p>
              </w:tc>
              <w:tc>
                <w:tcPr>
                  <w:tcW w:w="2816" w:type="pct"/>
                  <w:noWrap w:val="0"/>
                  <w:vAlign w:val="center"/>
                </w:tcPr>
                <w:p w14:paraId="3EC2EBCA">
                  <w:pPr>
                    <w:keepNext w:val="0"/>
                    <w:keepLines w:val="0"/>
                    <w:pageBreakBefore w:val="0"/>
                    <w:widowControl w:val="0"/>
                    <w:wordWrap/>
                    <w:topLinePunct w:val="0"/>
                    <w:bidi w:val="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施工机械及运输车辆产生的尾气对局部大气环境</w:t>
                  </w:r>
                  <w:r>
                    <w:rPr>
                      <w:rFonts w:hint="default" w:ascii="Times New Roman" w:hAnsi="Times New Roman" w:cs="Times New Roman"/>
                      <w:color w:val="auto"/>
                      <w:sz w:val="21"/>
                      <w:szCs w:val="21"/>
                      <w:highlight w:val="none"/>
                      <w:lang w:eastAsia="zh-CN"/>
                    </w:rPr>
                    <w:t>产生</w:t>
                  </w:r>
                  <w:r>
                    <w:rPr>
                      <w:rFonts w:hint="default" w:ascii="Times New Roman" w:hAnsi="Times New Roman" w:cs="Times New Roman"/>
                      <w:color w:val="auto"/>
                      <w:sz w:val="21"/>
                      <w:szCs w:val="21"/>
                      <w:highlight w:val="none"/>
                    </w:rPr>
                    <w:t>影响，尾气其主要污染物为NOx、CO和HC。</w:t>
                  </w:r>
                </w:p>
              </w:tc>
            </w:tr>
            <w:tr w14:paraId="055D1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4" w:type="pct"/>
                  <w:vMerge w:val="continue"/>
                  <w:noWrap w:val="0"/>
                  <w:vAlign w:val="center"/>
                </w:tcPr>
                <w:p w14:paraId="1D22B418">
                  <w:pPr>
                    <w:keepNext w:val="0"/>
                    <w:keepLines w:val="0"/>
                    <w:pageBreakBefore w:val="0"/>
                    <w:widowControl w:val="0"/>
                    <w:wordWrap/>
                    <w:topLinePunct w:val="0"/>
                    <w:bidi w:val="0"/>
                    <w:jc w:val="center"/>
                    <w:rPr>
                      <w:rFonts w:hint="default" w:ascii="Times New Roman" w:hAnsi="Times New Roman" w:cs="Times New Roman"/>
                      <w:color w:val="auto"/>
                      <w:sz w:val="21"/>
                      <w:szCs w:val="21"/>
                      <w:highlight w:val="none"/>
                    </w:rPr>
                  </w:pPr>
                </w:p>
              </w:tc>
              <w:tc>
                <w:tcPr>
                  <w:tcW w:w="404" w:type="pct"/>
                  <w:vMerge w:val="restart"/>
                  <w:noWrap w:val="0"/>
                  <w:vAlign w:val="center"/>
                </w:tcPr>
                <w:p w14:paraId="4BDDDEB3">
                  <w:pPr>
                    <w:keepNext w:val="0"/>
                    <w:keepLines w:val="0"/>
                    <w:pageBreakBefore w:val="0"/>
                    <w:widowControl w:val="0"/>
                    <w:wordWrap/>
                    <w:topLinePunct w:val="0"/>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水环境</w:t>
                  </w:r>
                </w:p>
              </w:tc>
              <w:tc>
                <w:tcPr>
                  <w:tcW w:w="965" w:type="pct"/>
                  <w:noWrap w:val="0"/>
                  <w:vAlign w:val="center"/>
                </w:tcPr>
                <w:p w14:paraId="5F2B4A7F">
                  <w:pPr>
                    <w:keepNext w:val="0"/>
                    <w:keepLines w:val="0"/>
                    <w:pageBreakBefore w:val="0"/>
                    <w:widowControl w:val="0"/>
                    <w:wordWrap/>
                    <w:topLinePunct w:val="0"/>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施工废水</w:t>
                  </w:r>
                </w:p>
              </w:tc>
              <w:tc>
                <w:tcPr>
                  <w:tcW w:w="539" w:type="pct"/>
                  <w:vMerge w:val="restart"/>
                  <w:noWrap w:val="0"/>
                  <w:vAlign w:val="center"/>
                </w:tcPr>
                <w:p w14:paraId="34E8D8F0">
                  <w:pPr>
                    <w:keepNext w:val="0"/>
                    <w:keepLines w:val="0"/>
                    <w:pageBreakBefore w:val="0"/>
                    <w:widowControl w:val="0"/>
                    <w:wordWrap/>
                    <w:topLinePunct w:val="0"/>
                    <w:bidi w:val="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短期</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可逆</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不利</w:t>
                  </w:r>
                </w:p>
              </w:tc>
              <w:tc>
                <w:tcPr>
                  <w:tcW w:w="2816" w:type="pct"/>
                  <w:vMerge w:val="restart"/>
                  <w:noWrap w:val="0"/>
                  <w:vAlign w:val="center"/>
                </w:tcPr>
                <w:p w14:paraId="6F829A4B">
                  <w:pPr>
                    <w:keepNext w:val="0"/>
                    <w:keepLines w:val="0"/>
                    <w:pageBreakBefore w:val="0"/>
                    <w:widowControl w:val="0"/>
                    <w:wordWrap/>
                    <w:topLinePunct w:val="0"/>
                    <w:bidi w:val="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施工废水含泥沙、悬浮物和石油类，隔油沉淀处理后回用，不外排。</w:t>
                  </w:r>
                </w:p>
                <w:p w14:paraId="164DFDC9">
                  <w:pPr>
                    <w:keepNext w:val="0"/>
                    <w:keepLines w:val="0"/>
                    <w:pageBreakBefore w:val="0"/>
                    <w:widowControl w:val="0"/>
                    <w:wordWrap/>
                    <w:topLinePunct w:val="0"/>
                    <w:bidi w:val="0"/>
                    <w:jc w:val="both"/>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highlight w:val="none"/>
                      <w:lang w:val="en-US" w:eastAsia="zh-CN"/>
                    </w:rPr>
                    <w:t>施工</w:t>
                  </w:r>
                  <w:r>
                    <w:rPr>
                      <w:rFonts w:hint="eastAsia" w:eastAsia="宋体" w:cs="Times New Roman"/>
                      <w:color w:val="auto"/>
                      <w:highlight w:val="none"/>
                      <w:lang w:val="en-US" w:eastAsia="zh-CN"/>
                    </w:rPr>
                    <w:t>生活污水进入园区污水处理厂处理</w:t>
                  </w:r>
                  <w:r>
                    <w:rPr>
                      <w:rFonts w:hint="default" w:ascii="Times New Roman" w:hAnsi="Times New Roman" w:eastAsia="宋体" w:cs="Times New Roman"/>
                      <w:color w:val="auto"/>
                      <w:highlight w:val="none"/>
                      <w:lang w:val="en-US" w:eastAsia="zh-CN"/>
                    </w:rPr>
                    <w:t>。</w:t>
                  </w:r>
                </w:p>
              </w:tc>
            </w:tr>
            <w:tr w14:paraId="11DCD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4" w:type="pct"/>
                  <w:vMerge w:val="continue"/>
                  <w:noWrap w:val="0"/>
                  <w:vAlign w:val="center"/>
                </w:tcPr>
                <w:p w14:paraId="0FD4D2EC">
                  <w:pPr>
                    <w:keepNext w:val="0"/>
                    <w:keepLines w:val="0"/>
                    <w:pageBreakBefore w:val="0"/>
                    <w:widowControl w:val="0"/>
                    <w:wordWrap/>
                    <w:topLinePunct w:val="0"/>
                    <w:bidi w:val="0"/>
                    <w:jc w:val="center"/>
                    <w:rPr>
                      <w:rFonts w:hint="default" w:ascii="Times New Roman" w:hAnsi="Times New Roman" w:cs="Times New Roman"/>
                      <w:color w:val="auto"/>
                      <w:sz w:val="21"/>
                      <w:szCs w:val="21"/>
                      <w:highlight w:val="none"/>
                    </w:rPr>
                  </w:pPr>
                </w:p>
              </w:tc>
              <w:tc>
                <w:tcPr>
                  <w:tcW w:w="404" w:type="pct"/>
                  <w:vMerge w:val="continue"/>
                  <w:noWrap w:val="0"/>
                  <w:vAlign w:val="center"/>
                </w:tcPr>
                <w:p w14:paraId="341E2467">
                  <w:pPr>
                    <w:keepNext w:val="0"/>
                    <w:keepLines w:val="0"/>
                    <w:pageBreakBefore w:val="0"/>
                    <w:widowControl w:val="0"/>
                    <w:wordWrap/>
                    <w:topLinePunct w:val="0"/>
                    <w:bidi w:val="0"/>
                    <w:jc w:val="center"/>
                    <w:rPr>
                      <w:rFonts w:hint="default" w:ascii="Times New Roman" w:hAnsi="Times New Roman" w:eastAsia="宋体" w:cs="Times New Roman"/>
                      <w:color w:val="auto"/>
                      <w:sz w:val="21"/>
                      <w:szCs w:val="21"/>
                      <w:highlight w:val="none"/>
                    </w:rPr>
                  </w:pPr>
                </w:p>
              </w:tc>
              <w:tc>
                <w:tcPr>
                  <w:tcW w:w="965" w:type="pct"/>
                  <w:noWrap w:val="0"/>
                  <w:vAlign w:val="center"/>
                </w:tcPr>
                <w:p w14:paraId="4753AE4B">
                  <w:pPr>
                    <w:keepNext w:val="0"/>
                    <w:keepLines w:val="0"/>
                    <w:pageBreakBefore w:val="0"/>
                    <w:widowControl w:val="0"/>
                    <w:wordWrap/>
                    <w:topLinePunct w:val="0"/>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施工人员生活污水</w:t>
                  </w:r>
                </w:p>
              </w:tc>
              <w:tc>
                <w:tcPr>
                  <w:tcW w:w="539" w:type="pct"/>
                  <w:vMerge w:val="continue"/>
                  <w:noWrap w:val="0"/>
                  <w:vAlign w:val="center"/>
                </w:tcPr>
                <w:p w14:paraId="3B85D791">
                  <w:pPr>
                    <w:keepNext w:val="0"/>
                    <w:keepLines w:val="0"/>
                    <w:pageBreakBefore w:val="0"/>
                    <w:widowControl w:val="0"/>
                    <w:wordWrap/>
                    <w:topLinePunct w:val="0"/>
                    <w:bidi w:val="0"/>
                    <w:jc w:val="both"/>
                    <w:rPr>
                      <w:rFonts w:hint="default" w:ascii="Times New Roman" w:hAnsi="Times New Roman" w:cs="Times New Roman"/>
                      <w:color w:val="auto"/>
                      <w:sz w:val="21"/>
                      <w:szCs w:val="21"/>
                      <w:highlight w:val="none"/>
                    </w:rPr>
                  </w:pPr>
                </w:p>
              </w:tc>
              <w:tc>
                <w:tcPr>
                  <w:tcW w:w="2816" w:type="pct"/>
                  <w:vMerge w:val="continue"/>
                  <w:noWrap w:val="0"/>
                  <w:vAlign w:val="center"/>
                </w:tcPr>
                <w:p w14:paraId="0953D215">
                  <w:pPr>
                    <w:keepNext w:val="0"/>
                    <w:keepLines w:val="0"/>
                    <w:pageBreakBefore w:val="0"/>
                    <w:widowControl w:val="0"/>
                    <w:wordWrap/>
                    <w:topLinePunct w:val="0"/>
                    <w:bidi w:val="0"/>
                    <w:jc w:val="both"/>
                    <w:rPr>
                      <w:rFonts w:hint="default" w:ascii="Times New Roman" w:hAnsi="Times New Roman" w:cs="Times New Roman"/>
                      <w:color w:val="auto"/>
                      <w:sz w:val="21"/>
                      <w:szCs w:val="21"/>
                      <w:highlight w:val="none"/>
                    </w:rPr>
                  </w:pPr>
                </w:p>
              </w:tc>
            </w:tr>
            <w:tr w14:paraId="1C54D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4" w:type="pct"/>
                  <w:vMerge w:val="continue"/>
                  <w:noWrap w:val="0"/>
                  <w:vAlign w:val="center"/>
                </w:tcPr>
                <w:p w14:paraId="781546F3">
                  <w:pPr>
                    <w:keepNext w:val="0"/>
                    <w:keepLines w:val="0"/>
                    <w:pageBreakBefore w:val="0"/>
                    <w:widowControl w:val="0"/>
                    <w:wordWrap/>
                    <w:topLinePunct w:val="0"/>
                    <w:bidi w:val="0"/>
                    <w:jc w:val="center"/>
                    <w:rPr>
                      <w:rFonts w:hint="default" w:ascii="Times New Roman" w:hAnsi="Times New Roman" w:cs="Times New Roman"/>
                      <w:color w:val="auto"/>
                      <w:sz w:val="21"/>
                      <w:szCs w:val="21"/>
                      <w:highlight w:val="none"/>
                    </w:rPr>
                  </w:pPr>
                </w:p>
              </w:tc>
              <w:tc>
                <w:tcPr>
                  <w:tcW w:w="404" w:type="pct"/>
                  <w:vMerge w:val="restart"/>
                  <w:noWrap w:val="0"/>
                  <w:vAlign w:val="center"/>
                </w:tcPr>
                <w:p w14:paraId="04473686">
                  <w:pPr>
                    <w:keepNext w:val="0"/>
                    <w:keepLines w:val="0"/>
                    <w:pageBreakBefore w:val="0"/>
                    <w:widowControl w:val="0"/>
                    <w:wordWrap/>
                    <w:topLinePunct w:val="0"/>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965" w:type="pct"/>
                  <w:noWrap w:val="0"/>
                  <w:vAlign w:val="center"/>
                </w:tcPr>
                <w:p w14:paraId="74EAE42E">
                  <w:pPr>
                    <w:keepNext w:val="0"/>
                    <w:keepLines w:val="0"/>
                    <w:pageBreakBefore w:val="0"/>
                    <w:widowControl w:val="0"/>
                    <w:wordWrap/>
                    <w:topLinePunct w:val="0"/>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施工机械噪声</w:t>
                  </w:r>
                </w:p>
              </w:tc>
              <w:tc>
                <w:tcPr>
                  <w:tcW w:w="539" w:type="pct"/>
                  <w:vMerge w:val="restart"/>
                  <w:noWrap w:val="0"/>
                  <w:vAlign w:val="center"/>
                </w:tcPr>
                <w:p w14:paraId="5014871D">
                  <w:pPr>
                    <w:keepNext w:val="0"/>
                    <w:keepLines w:val="0"/>
                    <w:pageBreakBefore w:val="0"/>
                    <w:widowControl w:val="0"/>
                    <w:wordWrap/>
                    <w:topLinePunct w:val="0"/>
                    <w:bidi w:val="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短期</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可逆</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不利</w:t>
                  </w:r>
                </w:p>
              </w:tc>
              <w:tc>
                <w:tcPr>
                  <w:tcW w:w="2816" w:type="pct"/>
                  <w:vMerge w:val="restart"/>
                  <w:noWrap w:val="0"/>
                  <w:vAlign w:val="center"/>
                </w:tcPr>
                <w:p w14:paraId="24890167">
                  <w:pPr>
                    <w:keepNext w:val="0"/>
                    <w:keepLines w:val="0"/>
                    <w:pageBreakBefore w:val="0"/>
                    <w:widowControl w:val="0"/>
                    <w:wordWrap/>
                    <w:topLinePunct w:val="0"/>
                    <w:bidi w:val="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不同施工阶段施工车辆或施工机械噪声对</w:t>
                  </w:r>
                  <w:r>
                    <w:rPr>
                      <w:rFonts w:hint="default" w:ascii="Times New Roman" w:hAnsi="Times New Roman" w:cs="Times New Roman"/>
                      <w:color w:val="auto"/>
                      <w:sz w:val="21"/>
                      <w:szCs w:val="21"/>
                      <w:highlight w:val="none"/>
                      <w:lang w:val="en-US" w:eastAsia="zh-CN"/>
                    </w:rPr>
                    <w:t>周边环境</w:t>
                  </w:r>
                  <w:r>
                    <w:rPr>
                      <w:rFonts w:hint="default" w:ascii="Times New Roman" w:hAnsi="Times New Roman" w:cs="Times New Roman"/>
                      <w:color w:val="auto"/>
                      <w:sz w:val="21"/>
                      <w:szCs w:val="21"/>
                      <w:highlight w:val="none"/>
                    </w:rPr>
                    <w:t>的影响。</w:t>
                  </w:r>
                </w:p>
              </w:tc>
            </w:tr>
            <w:tr w14:paraId="5D3A7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4" w:type="pct"/>
                  <w:vMerge w:val="continue"/>
                  <w:noWrap w:val="0"/>
                  <w:vAlign w:val="center"/>
                </w:tcPr>
                <w:p w14:paraId="46842517">
                  <w:pPr>
                    <w:keepNext w:val="0"/>
                    <w:keepLines w:val="0"/>
                    <w:pageBreakBefore w:val="0"/>
                    <w:widowControl w:val="0"/>
                    <w:wordWrap/>
                    <w:topLinePunct w:val="0"/>
                    <w:bidi w:val="0"/>
                    <w:jc w:val="center"/>
                    <w:rPr>
                      <w:rFonts w:hint="default" w:ascii="Times New Roman" w:hAnsi="Times New Roman" w:cs="Times New Roman"/>
                      <w:color w:val="auto"/>
                      <w:sz w:val="21"/>
                      <w:szCs w:val="21"/>
                      <w:highlight w:val="none"/>
                    </w:rPr>
                  </w:pPr>
                </w:p>
              </w:tc>
              <w:tc>
                <w:tcPr>
                  <w:tcW w:w="404" w:type="pct"/>
                  <w:vMerge w:val="continue"/>
                  <w:noWrap w:val="0"/>
                  <w:vAlign w:val="center"/>
                </w:tcPr>
                <w:p w14:paraId="2DF210F2">
                  <w:pPr>
                    <w:keepNext w:val="0"/>
                    <w:keepLines w:val="0"/>
                    <w:pageBreakBefore w:val="0"/>
                    <w:widowControl w:val="0"/>
                    <w:wordWrap/>
                    <w:topLinePunct w:val="0"/>
                    <w:bidi w:val="0"/>
                    <w:jc w:val="center"/>
                    <w:rPr>
                      <w:rFonts w:hint="default" w:ascii="Times New Roman" w:hAnsi="Times New Roman" w:eastAsia="宋体" w:cs="Times New Roman"/>
                      <w:color w:val="auto"/>
                      <w:sz w:val="21"/>
                      <w:szCs w:val="21"/>
                      <w:highlight w:val="none"/>
                    </w:rPr>
                  </w:pPr>
                </w:p>
              </w:tc>
              <w:tc>
                <w:tcPr>
                  <w:tcW w:w="965" w:type="pct"/>
                  <w:noWrap w:val="0"/>
                  <w:vAlign w:val="center"/>
                </w:tcPr>
                <w:p w14:paraId="5A6C26BA">
                  <w:pPr>
                    <w:keepNext w:val="0"/>
                    <w:keepLines w:val="0"/>
                    <w:pageBreakBefore w:val="0"/>
                    <w:widowControl w:val="0"/>
                    <w:wordWrap/>
                    <w:topLinePunct w:val="0"/>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运输车辆噪声</w:t>
                  </w:r>
                </w:p>
              </w:tc>
              <w:tc>
                <w:tcPr>
                  <w:tcW w:w="539" w:type="pct"/>
                  <w:vMerge w:val="continue"/>
                  <w:noWrap w:val="0"/>
                  <w:vAlign w:val="center"/>
                </w:tcPr>
                <w:p w14:paraId="1F617D36">
                  <w:pPr>
                    <w:keepNext w:val="0"/>
                    <w:keepLines w:val="0"/>
                    <w:pageBreakBefore w:val="0"/>
                    <w:widowControl w:val="0"/>
                    <w:wordWrap/>
                    <w:topLinePunct w:val="0"/>
                    <w:bidi w:val="0"/>
                    <w:jc w:val="both"/>
                    <w:rPr>
                      <w:rFonts w:hint="default" w:ascii="Times New Roman" w:hAnsi="Times New Roman" w:cs="Times New Roman"/>
                      <w:color w:val="auto"/>
                      <w:sz w:val="21"/>
                      <w:szCs w:val="21"/>
                      <w:highlight w:val="none"/>
                    </w:rPr>
                  </w:pPr>
                </w:p>
              </w:tc>
              <w:tc>
                <w:tcPr>
                  <w:tcW w:w="2816" w:type="pct"/>
                  <w:vMerge w:val="continue"/>
                  <w:noWrap w:val="0"/>
                  <w:vAlign w:val="center"/>
                </w:tcPr>
                <w:p w14:paraId="415FF227">
                  <w:pPr>
                    <w:keepNext w:val="0"/>
                    <w:keepLines w:val="0"/>
                    <w:pageBreakBefore w:val="0"/>
                    <w:widowControl w:val="0"/>
                    <w:wordWrap/>
                    <w:topLinePunct w:val="0"/>
                    <w:bidi w:val="0"/>
                    <w:jc w:val="both"/>
                    <w:rPr>
                      <w:rFonts w:hint="default" w:ascii="Times New Roman" w:hAnsi="Times New Roman" w:cs="Times New Roman"/>
                      <w:color w:val="auto"/>
                      <w:sz w:val="21"/>
                      <w:szCs w:val="21"/>
                      <w:highlight w:val="none"/>
                    </w:rPr>
                  </w:pPr>
                </w:p>
              </w:tc>
            </w:tr>
            <w:tr w14:paraId="4C069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4" w:type="pct"/>
                  <w:vMerge w:val="continue"/>
                  <w:noWrap w:val="0"/>
                  <w:vAlign w:val="center"/>
                </w:tcPr>
                <w:p w14:paraId="6721BA92">
                  <w:pPr>
                    <w:keepNext w:val="0"/>
                    <w:keepLines w:val="0"/>
                    <w:pageBreakBefore w:val="0"/>
                    <w:widowControl w:val="0"/>
                    <w:wordWrap/>
                    <w:topLinePunct w:val="0"/>
                    <w:bidi w:val="0"/>
                    <w:jc w:val="center"/>
                    <w:rPr>
                      <w:rFonts w:hint="default" w:ascii="Times New Roman" w:hAnsi="Times New Roman" w:cs="Times New Roman"/>
                      <w:color w:val="auto"/>
                      <w:sz w:val="21"/>
                      <w:szCs w:val="21"/>
                      <w:highlight w:val="none"/>
                    </w:rPr>
                  </w:pPr>
                </w:p>
              </w:tc>
              <w:tc>
                <w:tcPr>
                  <w:tcW w:w="404" w:type="pct"/>
                  <w:vMerge w:val="restart"/>
                  <w:noWrap w:val="0"/>
                  <w:vAlign w:val="center"/>
                </w:tcPr>
                <w:p w14:paraId="3D2ED6B2">
                  <w:pPr>
                    <w:keepNext w:val="0"/>
                    <w:keepLines w:val="0"/>
                    <w:pageBreakBefore w:val="0"/>
                    <w:widowControl w:val="0"/>
                    <w:wordWrap/>
                    <w:topLinePunct w:val="0"/>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w:t>
                  </w:r>
                </w:p>
                <w:p w14:paraId="687B74D2">
                  <w:pPr>
                    <w:keepNext w:val="0"/>
                    <w:keepLines w:val="0"/>
                    <w:pageBreakBefore w:val="0"/>
                    <w:widowControl w:val="0"/>
                    <w:wordWrap/>
                    <w:topLinePunct w:val="0"/>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废物</w:t>
                  </w:r>
                </w:p>
              </w:tc>
              <w:tc>
                <w:tcPr>
                  <w:tcW w:w="965" w:type="pct"/>
                  <w:noWrap w:val="0"/>
                  <w:vAlign w:val="center"/>
                </w:tcPr>
                <w:p w14:paraId="79DF222E">
                  <w:pPr>
                    <w:keepNext w:val="0"/>
                    <w:keepLines w:val="0"/>
                    <w:pageBreakBefore w:val="0"/>
                    <w:widowControl w:val="0"/>
                    <w:wordWrap/>
                    <w:topLinePunct w:val="0"/>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539" w:type="pct"/>
                  <w:vMerge w:val="restart"/>
                  <w:noWrap w:val="0"/>
                  <w:vAlign w:val="center"/>
                </w:tcPr>
                <w:p w14:paraId="365DF1BF">
                  <w:pPr>
                    <w:keepNext w:val="0"/>
                    <w:keepLines w:val="0"/>
                    <w:pageBreakBefore w:val="0"/>
                    <w:widowControl w:val="0"/>
                    <w:wordWrap/>
                    <w:topLinePunct w:val="0"/>
                    <w:bidi w:val="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短期</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可逆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不利</w:t>
                  </w:r>
                </w:p>
              </w:tc>
              <w:tc>
                <w:tcPr>
                  <w:tcW w:w="2816" w:type="pct"/>
                  <w:vMerge w:val="restart"/>
                  <w:noWrap w:val="0"/>
                  <w:vAlign w:val="center"/>
                </w:tcPr>
                <w:p w14:paraId="03352DF9">
                  <w:pPr>
                    <w:keepNext w:val="0"/>
                    <w:keepLines w:val="0"/>
                    <w:pageBreakBefore w:val="0"/>
                    <w:widowControl w:val="0"/>
                    <w:wordWrap/>
                    <w:topLinePunct w:val="0"/>
                    <w:bidi w:val="0"/>
                    <w:adjustRightInd w:val="0"/>
                    <w:snapToGrid w:val="0"/>
                    <w:spacing w:line="240" w:lineRule="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①施工人员产生的生活垃圾集中收集后，</w:t>
                  </w:r>
                  <w:r>
                    <w:rPr>
                      <w:rFonts w:hint="default" w:ascii="Times New Roman" w:hAnsi="Times New Roman" w:eastAsia="宋体" w:cs="Times New Roman"/>
                      <w:bCs/>
                      <w:color w:val="auto"/>
                      <w:sz w:val="21"/>
                      <w:szCs w:val="21"/>
                      <w:highlight w:val="none"/>
                      <w:lang w:val="en-US" w:eastAsia="zh-CN"/>
                    </w:rPr>
                    <w:t>定期自行清运至</w:t>
                  </w:r>
                  <w:r>
                    <w:rPr>
                      <w:rFonts w:hint="eastAsia" w:ascii="Times New Roman" w:hAnsi="Times New Roman" w:eastAsia="宋体" w:cs="Times New Roman"/>
                      <w:bCs/>
                      <w:color w:val="auto"/>
                      <w:sz w:val="21"/>
                      <w:szCs w:val="21"/>
                      <w:highlight w:val="none"/>
                      <w:lang w:val="en-US" w:eastAsia="zh-CN"/>
                    </w:rPr>
                    <w:t>附近</w:t>
                  </w:r>
                  <w:r>
                    <w:rPr>
                      <w:rFonts w:hint="default" w:ascii="Times New Roman" w:hAnsi="Times New Roman" w:eastAsia="宋体" w:cs="Times New Roman"/>
                      <w:bCs/>
                      <w:color w:val="auto"/>
                      <w:sz w:val="21"/>
                      <w:szCs w:val="21"/>
                      <w:highlight w:val="none"/>
                      <w:lang w:val="en-US" w:eastAsia="zh-CN"/>
                    </w:rPr>
                    <w:t>垃圾转运站</w:t>
                  </w:r>
                  <w:r>
                    <w:rPr>
                      <w:rFonts w:hint="default" w:ascii="Times New Roman" w:hAnsi="Times New Roman" w:cs="Times New Roman"/>
                      <w:color w:val="auto"/>
                      <w:sz w:val="21"/>
                      <w:szCs w:val="21"/>
                      <w:highlight w:val="none"/>
                      <w:lang w:val="en-US" w:eastAsia="zh-CN"/>
                    </w:rPr>
                    <w:t>；</w:t>
                  </w:r>
                </w:p>
                <w:p w14:paraId="085105DE">
                  <w:pPr>
                    <w:keepNext w:val="0"/>
                    <w:keepLines w:val="0"/>
                    <w:pageBreakBefore w:val="0"/>
                    <w:widowControl w:val="0"/>
                    <w:wordWrap/>
                    <w:topLinePunct w:val="0"/>
                    <w:bidi w:val="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②建筑垃圾定点收集后拉运至当地政府指定建筑垃圾填埋场填埋。</w:t>
                  </w:r>
                </w:p>
              </w:tc>
            </w:tr>
            <w:tr w14:paraId="39939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4" w:type="pct"/>
                  <w:vMerge w:val="continue"/>
                  <w:noWrap w:val="0"/>
                  <w:vAlign w:val="center"/>
                </w:tcPr>
                <w:p w14:paraId="4992FF32">
                  <w:pPr>
                    <w:keepNext w:val="0"/>
                    <w:keepLines w:val="0"/>
                    <w:pageBreakBefore w:val="0"/>
                    <w:widowControl w:val="0"/>
                    <w:wordWrap/>
                    <w:topLinePunct w:val="0"/>
                    <w:bidi w:val="0"/>
                    <w:jc w:val="center"/>
                    <w:rPr>
                      <w:rFonts w:hint="default" w:ascii="Times New Roman" w:hAnsi="Times New Roman" w:cs="Times New Roman"/>
                      <w:color w:val="auto"/>
                      <w:sz w:val="21"/>
                      <w:szCs w:val="21"/>
                      <w:highlight w:val="none"/>
                    </w:rPr>
                  </w:pPr>
                </w:p>
              </w:tc>
              <w:tc>
                <w:tcPr>
                  <w:tcW w:w="404" w:type="pct"/>
                  <w:vMerge w:val="continue"/>
                  <w:noWrap w:val="0"/>
                  <w:vAlign w:val="center"/>
                </w:tcPr>
                <w:p w14:paraId="4DA48CC3">
                  <w:pPr>
                    <w:keepNext w:val="0"/>
                    <w:keepLines w:val="0"/>
                    <w:pageBreakBefore w:val="0"/>
                    <w:widowControl w:val="0"/>
                    <w:wordWrap/>
                    <w:topLinePunct w:val="0"/>
                    <w:bidi w:val="0"/>
                    <w:jc w:val="center"/>
                    <w:rPr>
                      <w:rFonts w:hint="default" w:ascii="Times New Roman" w:hAnsi="Times New Roman" w:eastAsia="宋体" w:cs="Times New Roman"/>
                      <w:color w:val="auto"/>
                      <w:sz w:val="21"/>
                      <w:szCs w:val="21"/>
                      <w:highlight w:val="none"/>
                    </w:rPr>
                  </w:pPr>
                </w:p>
              </w:tc>
              <w:tc>
                <w:tcPr>
                  <w:tcW w:w="965" w:type="pct"/>
                  <w:noWrap w:val="0"/>
                  <w:vAlign w:val="center"/>
                </w:tcPr>
                <w:p w14:paraId="147A588A">
                  <w:pPr>
                    <w:keepNext w:val="0"/>
                    <w:keepLines w:val="0"/>
                    <w:pageBreakBefore w:val="0"/>
                    <w:widowControl w:val="0"/>
                    <w:wordWrap/>
                    <w:topLinePunct w:val="0"/>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建筑垃圾</w:t>
                  </w:r>
                </w:p>
              </w:tc>
              <w:tc>
                <w:tcPr>
                  <w:tcW w:w="539" w:type="pct"/>
                  <w:vMerge w:val="continue"/>
                  <w:noWrap w:val="0"/>
                  <w:vAlign w:val="center"/>
                </w:tcPr>
                <w:p w14:paraId="10A5D717">
                  <w:pPr>
                    <w:keepNext w:val="0"/>
                    <w:keepLines w:val="0"/>
                    <w:pageBreakBefore w:val="0"/>
                    <w:widowControl w:val="0"/>
                    <w:wordWrap/>
                    <w:topLinePunct w:val="0"/>
                    <w:bidi w:val="0"/>
                    <w:jc w:val="both"/>
                    <w:rPr>
                      <w:rFonts w:hint="default" w:ascii="Times New Roman" w:hAnsi="Times New Roman" w:cs="Times New Roman"/>
                      <w:color w:val="auto"/>
                      <w:sz w:val="21"/>
                      <w:szCs w:val="21"/>
                      <w:highlight w:val="none"/>
                    </w:rPr>
                  </w:pPr>
                </w:p>
              </w:tc>
              <w:tc>
                <w:tcPr>
                  <w:tcW w:w="2816" w:type="pct"/>
                  <w:vMerge w:val="continue"/>
                  <w:noWrap w:val="0"/>
                  <w:vAlign w:val="center"/>
                </w:tcPr>
                <w:p w14:paraId="7FFFA969">
                  <w:pPr>
                    <w:keepNext w:val="0"/>
                    <w:keepLines w:val="0"/>
                    <w:pageBreakBefore w:val="0"/>
                    <w:widowControl w:val="0"/>
                    <w:wordWrap/>
                    <w:topLinePunct w:val="0"/>
                    <w:bidi w:val="0"/>
                    <w:jc w:val="both"/>
                    <w:rPr>
                      <w:rFonts w:hint="default" w:ascii="Times New Roman" w:hAnsi="Times New Roman" w:cs="Times New Roman"/>
                      <w:color w:val="auto"/>
                      <w:sz w:val="21"/>
                      <w:szCs w:val="21"/>
                      <w:highlight w:val="none"/>
                    </w:rPr>
                  </w:pPr>
                </w:p>
              </w:tc>
            </w:tr>
            <w:tr w14:paraId="14122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4" w:type="pct"/>
                  <w:vMerge w:val="continue"/>
                  <w:noWrap w:val="0"/>
                  <w:vAlign w:val="center"/>
                </w:tcPr>
                <w:p w14:paraId="0E5595EB">
                  <w:pPr>
                    <w:keepNext w:val="0"/>
                    <w:keepLines w:val="0"/>
                    <w:pageBreakBefore w:val="0"/>
                    <w:widowControl w:val="0"/>
                    <w:wordWrap/>
                    <w:topLinePunct w:val="0"/>
                    <w:bidi w:val="0"/>
                    <w:jc w:val="center"/>
                    <w:rPr>
                      <w:rFonts w:hint="default" w:ascii="Times New Roman" w:hAnsi="Times New Roman" w:cs="Times New Roman"/>
                      <w:color w:val="auto"/>
                      <w:sz w:val="21"/>
                      <w:szCs w:val="21"/>
                      <w:highlight w:val="none"/>
                    </w:rPr>
                  </w:pPr>
                </w:p>
              </w:tc>
              <w:tc>
                <w:tcPr>
                  <w:tcW w:w="404" w:type="pct"/>
                  <w:noWrap w:val="0"/>
                  <w:vAlign w:val="center"/>
                </w:tcPr>
                <w:p w14:paraId="4256FE35">
                  <w:pPr>
                    <w:pStyle w:val="35"/>
                    <w:keepNext w:val="0"/>
                    <w:keepLines w:val="0"/>
                    <w:pageBreakBefore w:val="0"/>
                    <w:widowControl w:val="0"/>
                    <w:kinsoku w:val="0"/>
                    <w:wordWrap/>
                    <w:overflowPunct w:val="0"/>
                    <w:topLinePunct w:val="0"/>
                    <w:bidi w:val="0"/>
                    <w:ind w:left="67"/>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生态</w:t>
                  </w:r>
                </w:p>
              </w:tc>
              <w:tc>
                <w:tcPr>
                  <w:tcW w:w="965" w:type="pct"/>
                  <w:noWrap w:val="0"/>
                  <w:vAlign w:val="center"/>
                </w:tcPr>
                <w:p w14:paraId="02F4ADFC">
                  <w:pPr>
                    <w:pStyle w:val="35"/>
                    <w:keepNext w:val="0"/>
                    <w:keepLines w:val="0"/>
                    <w:pageBreakBefore w:val="0"/>
                    <w:widowControl w:val="0"/>
                    <w:kinsoku w:val="0"/>
                    <w:wordWrap/>
                    <w:overflowPunct w:val="0"/>
                    <w:topLinePunct w:val="0"/>
                    <w:bidi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永久占地</w:t>
                  </w:r>
                </w:p>
              </w:tc>
              <w:tc>
                <w:tcPr>
                  <w:tcW w:w="539" w:type="pct"/>
                  <w:noWrap w:val="0"/>
                  <w:vAlign w:val="center"/>
                </w:tcPr>
                <w:p w14:paraId="27CA8D1E">
                  <w:pPr>
                    <w:pStyle w:val="35"/>
                    <w:keepNext w:val="0"/>
                    <w:keepLines w:val="0"/>
                    <w:pageBreakBefore w:val="0"/>
                    <w:widowControl w:val="0"/>
                    <w:kinsoku w:val="0"/>
                    <w:wordWrap/>
                    <w:overflowPunct w:val="0"/>
                    <w:topLinePunct w:val="0"/>
                    <w:bidi w:val="0"/>
                    <w:spacing w:line="240" w:lineRule="exact"/>
                    <w:ind w:left="4"/>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长期</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不可逆</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不利</w:t>
                  </w:r>
                </w:p>
              </w:tc>
              <w:tc>
                <w:tcPr>
                  <w:tcW w:w="2816" w:type="pct"/>
                  <w:noWrap w:val="0"/>
                  <w:vAlign w:val="center"/>
                </w:tcPr>
                <w:p w14:paraId="1FF331F4">
                  <w:pPr>
                    <w:pStyle w:val="35"/>
                    <w:keepNext w:val="0"/>
                    <w:keepLines w:val="0"/>
                    <w:pageBreakBefore w:val="0"/>
                    <w:widowControl w:val="0"/>
                    <w:kinsoku w:val="0"/>
                    <w:wordWrap/>
                    <w:overflowPunct w:val="0"/>
                    <w:topLinePunct w:val="0"/>
                    <w:bidi w:val="0"/>
                    <w:spacing w:line="240" w:lineRule="exact"/>
                    <w:jc w:val="both"/>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占地及施工对地表植被的破坏、对野生动物的影响、施工可能引发的水土流失影响。</w:t>
                  </w:r>
                </w:p>
              </w:tc>
            </w:tr>
          </w:tbl>
          <w:p w14:paraId="08B67AA8">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1.1污染源分析</w:t>
            </w:r>
          </w:p>
          <w:p w14:paraId="13BB2D54">
            <w:pPr>
              <w:keepNext w:val="0"/>
              <w:keepLines w:val="0"/>
              <w:pageBreakBefore w:val="0"/>
              <w:widowControl w:val="0"/>
              <w:wordWrap/>
              <w:topLinePunct w:val="0"/>
              <w:bidi w:val="0"/>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施工期大气污染主要是施工扬尘和施工废气。施工扬尘主要来源于施工过程中</w:t>
            </w:r>
            <w:r>
              <w:rPr>
                <w:rFonts w:hint="default" w:ascii="Times New Roman" w:hAnsi="Times New Roman" w:cs="Times New Roman"/>
                <w:color w:val="auto"/>
                <w:sz w:val="24"/>
                <w:szCs w:val="24"/>
                <w:highlight w:val="none"/>
                <w:lang w:val="en-US" w:eastAsia="zh-CN"/>
              </w:rPr>
              <w:t>土方</w:t>
            </w:r>
            <w:r>
              <w:rPr>
                <w:rFonts w:hint="default" w:ascii="Times New Roman" w:hAnsi="Times New Roman" w:cs="Times New Roman"/>
                <w:color w:val="auto"/>
                <w:sz w:val="24"/>
                <w:szCs w:val="24"/>
                <w:highlight w:val="none"/>
              </w:rPr>
              <w:t>开挖</w:t>
            </w:r>
            <w:r>
              <w:rPr>
                <w:rFonts w:hint="default" w:ascii="Times New Roman" w:hAnsi="Times New Roman" w:cs="Times New Roman"/>
                <w:color w:val="auto"/>
                <w:sz w:val="24"/>
                <w:szCs w:val="24"/>
                <w:highlight w:val="none"/>
                <w:lang w:eastAsia="zh-CN"/>
              </w:rPr>
              <w:t>、回填</w:t>
            </w:r>
            <w:r>
              <w:rPr>
                <w:rFonts w:hint="default" w:ascii="Times New Roman" w:hAnsi="Times New Roman" w:cs="Times New Roman"/>
                <w:color w:val="auto"/>
                <w:sz w:val="24"/>
                <w:szCs w:val="24"/>
                <w:highlight w:val="none"/>
              </w:rPr>
              <w:t>扬尘、物料</w:t>
            </w:r>
            <w:r>
              <w:rPr>
                <w:rFonts w:hint="default" w:ascii="Times New Roman" w:hAnsi="Times New Roman" w:cs="Times New Roman"/>
                <w:color w:val="auto"/>
                <w:sz w:val="24"/>
                <w:szCs w:val="24"/>
                <w:highlight w:val="none"/>
                <w:lang w:eastAsia="zh-CN"/>
              </w:rPr>
              <w:t>及土方</w:t>
            </w:r>
            <w:r>
              <w:rPr>
                <w:rFonts w:hint="default" w:ascii="Times New Roman" w:hAnsi="Times New Roman" w:cs="Times New Roman"/>
                <w:color w:val="auto"/>
                <w:sz w:val="24"/>
                <w:szCs w:val="24"/>
                <w:highlight w:val="none"/>
              </w:rPr>
              <w:t>堆放以及车辆运输等过程</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施工扬尘的主要污染因子</w:t>
            </w:r>
            <w:r>
              <w:rPr>
                <w:rFonts w:hint="default" w:ascii="Times New Roman" w:hAnsi="Times New Roman" w:cs="Times New Roman"/>
                <w:color w:val="auto"/>
                <w:sz w:val="24"/>
                <w:szCs w:val="24"/>
                <w:highlight w:val="none"/>
                <w:lang w:eastAsia="zh-CN"/>
              </w:rPr>
              <w:t>为颗粒物</w:t>
            </w:r>
            <w:r>
              <w:rPr>
                <w:rFonts w:hint="default" w:ascii="Times New Roman" w:hAnsi="Times New Roman" w:cs="Times New Roman"/>
                <w:color w:val="auto"/>
                <w:sz w:val="24"/>
                <w:szCs w:val="24"/>
                <w:highlight w:val="none"/>
              </w:rPr>
              <w:t>。</w:t>
            </w:r>
          </w:p>
          <w:p w14:paraId="2C4B48F3">
            <w:pPr>
              <w:keepNext w:val="0"/>
              <w:keepLines w:val="0"/>
              <w:pageBreakBefore w:val="0"/>
              <w:widowControl w:val="0"/>
              <w:wordWrap/>
              <w:topLinePunct w:val="0"/>
              <w:bidi w:val="0"/>
              <w:adjustRightInd w:val="0"/>
              <w:snapToGrid w:val="0"/>
              <w:spacing w:line="360" w:lineRule="auto"/>
              <w:ind w:firstLine="456" w:firstLineChars="200"/>
              <w:rPr>
                <w:rFonts w:hint="default" w:ascii="Times New Roman" w:hAnsi="Times New Roman" w:cs="Times New Roman"/>
                <w:color w:val="auto"/>
                <w:spacing w:val="-6"/>
                <w:sz w:val="24"/>
                <w:szCs w:val="24"/>
                <w:highlight w:val="none"/>
              </w:rPr>
            </w:pPr>
            <w:r>
              <w:rPr>
                <w:rFonts w:hint="default" w:ascii="Times New Roman" w:hAnsi="Times New Roman" w:cs="Times New Roman"/>
                <w:color w:val="auto"/>
                <w:spacing w:val="-6"/>
                <w:sz w:val="24"/>
                <w:szCs w:val="24"/>
                <w:highlight w:val="none"/>
              </w:rPr>
              <w:t>施工废气</w:t>
            </w:r>
            <w:r>
              <w:rPr>
                <w:rFonts w:hint="default" w:ascii="Times New Roman" w:hAnsi="Times New Roman" w:cs="Times New Roman"/>
                <w:color w:val="auto"/>
                <w:spacing w:val="-6"/>
                <w:sz w:val="24"/>
                <w:szCs w:val="24"/>
                <w:highlight w:val="none"/>
                <w:lang w:eastAsia="zh-CN"/>
              </w:rPr>
              <w:t>：</w:t>
            </w:r>
            <w:r>
              <w:rPr>
                <w:rFonts w:hint="default" w:ascii="Times New Roman" w:hAnsi="Times New Roman" w:cs="Times New Roman"/>
                <w:color w:val="auto"/>
                <w:spacing w:val="-6"/>
                <w:sz w:val="24"/>
                <w:szCs w:val="24"/>
                <w:highlight w:val="none"/>
              </w:rPr>
              <w:t>主要为运输车队、施工机械（推土机、搅拌机、吊车等）等机动车辆运行时排放的尾气</w:t>
            </w:r>
            <w:r>
              <w:rPr>
                <w:rFonts w:hint="default" w:ascii="Times New Roman" w:hAnsi="Times New Roman" w:cs="Times New Roman"/>
                <w:color w:val="auto"/>
                <w:spacing w:val="-6"/>
                <w:sz w:val="24"/>
                <w:szCs w:val="24"/>
                <w:highlight w:val="none"/>
                <w:lang w:eastAsia="zh-CN"/>
              </w:rPr>
              <w:t>，</w:t>
            </w:r>
            <w:r>
              <w:rPr>
                <w:rFonts w:hint="default" w:ascii="Times New Roman" w:hAnsi="Times New Roman" w:cs="Times New Roman"/>
                <w:color w:val="auto"/>
                <w:spacing w:val="-6"/>
                <w:sz w:val="24"/>
                <w:szCs w:val="24"/>
                <w:highlight w:val="none"/>
              </w:rPr>
              <w:t>废气中主要污染因子为NOx、CO</w:t>
            </w:r>
            <w:r>
              <w:rPr>
                <w:rFonts w:hint="default" w:ascii="Times New Roman" w:hAnsi="Times New Roman" w:cs="Times New Roman"/>
                <w:color w:val="auto"/>
                <w:spacing w:val="-6"/>
                <w:sz w:val="24"/>
                <w:szCs w:val="24"/>
                <w:highlight w:val="none"/>
                <w:lang w:eastAsia="zh-CN"/>
              </w:rPr>
              <w:t>、</w:t>
            </w:r>
            <w:r>
              <w:rPr>
                <w:rFonts w:hint="default" w:ascii="Times New Roman" w:hAnsi="Times New Roman" w:cs="Times New Roman"/>
                <w:color w:val="auto"/>
                <w:spacing w:val="-6"/>
                <w:sz w:val="24"/>
                <w:szCs w:val="24"/>
                <w:highlight w:val="none"/>
                <w:lang w:val="en-US" w:eastAsia="zh-CN"/>
              </w:rPr>
              <w:t>HC、颗粒物</w:t>
            </w:r>
            <w:r>
              <w:rPr>
                <w:rFonts w:hint="default" w:ascii="Times New Roman" w:hAnsi="Times New Roman" w:cs="Times New Roman"/>
                <w:color w:val="auto"/>
                <w:spacing w:val="-6"/>
                <w:sz w:val="24"/>
                <w:szCs w:val="24"/>
                <w:highlight w:val="none"/>
              </w:rPr>
              <w:t>等。</w:t>
            </w:r>
          </w:p>
          <w:p w14:paraId="42050B53">
            <w:pPr>
              <w:keepNext w:val="0"/>
              <w:keepLines w:val="0"/>
              <w:pageBreakBefore w:val="0"/>
              <w:widowControl w:val="0"/>
              <w:wordWrap/>
              <w:topLinePunct w:val="0"/>
              <w:bidi w:val="0"/>
              <w:adjustRightInd w:val="0"/>
              <w:snapToGrid w:val="0"/>
              <w:spacing w:line="360" w:lineRule="auto"/>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1.2扬尘对大气环境的影响</w:t>
            </w:r>
          </w:p>
          <w:p w14:paraId="6774C75C">
            <w:pPr>
              <w:keepNext w:val="0"/>
              <w:keepLines w:val="0"/>
              <w:pageBreakBefore w:val="0"/>
              <w:widowControl w:val="0"/>
              <w:tabs>
                <w:tab w:val="left" w:pos="6480"/>
              </w:tabs>
              <w:wordWrap/>
              <w:topLinePunct w:val="0"/>
              <w:bidi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（1）施工扬尘</w:t>
            </w:r>
          </w:p>
          <w:p w14:paraId="6D67A960">
            <w:pPr>
              <w:keepNext w:val="0"/>
              <w:keepLines w:val="0"/>
              <w:pageBreakBefore w:val="0"/>
              <w:widowControl w:val="0"/>
              <w:tabs>
                <w:tab w:val="left" w:pos="6480"/>
              </w:tabs>
              <w:wordWrap/>
              <w:topLinePunct w:val="0"/>
              <w:bidi w:val="0"/>
              <w:spacing w:line="360" w:lineRule="auto"/>
              <w:ind w:firstLine="480" w:firstLineChars="200"/>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本项目</w:t>
            </w:r>
            <w:r>
              <w:rPr>
                <w:rFonts w:hint="default" w:ascii="Times New Roman" w:hAnsi="Times New Roman" w:cs="Times New Roman"/>
                <w:color w:val="auto"/>
                <w:sz w:val="24"/>
                <w:szCs w:val="24"/>
                <w:highlight w:val="none"/>
              </w:rPr>
              <w:t>施工期主要建设内容包括：</w:t>
            </w:r>
            <w:r>
              <w:rPr>
                <w:rFonts w:hint="default" w:ascii="Times New Roman" w:hAnsi="Times New Roman" w:cs="Times New Roman"/>
                <w:color w:val="auto"/>
                <w:sz w:val="24"/>
                <w:szCs w:val="24"/>
                <w:highlight w:val="none"/>
                <w:lang w:val="en-US" w:eastAsia="zh-CN"/>
              </w:rPr>
              <w:t>场地平整、</w:t>
            </w:r>
            <w:r>
              <w:rPr>
                <w:rFonts w:hint="eastAsia" w:cs="Times New Roman"/>
                <w:color w:val="auto"/>
                <w:sz w:val="24"/>
                <w:szCs w:val="24"/>
                <w:highlight w:val="none"/>
                <w:lang w:val="en-US" w:eastAsia="zh-CN"/>
              </w:rPr>
              <w:t>储能电站建设、</w:t>
            </w:r>
            <w:r>
              <w:rPr>
                <w:rFonts w:hint="default" w:ascii="Times New Roman" w:hAnsi="Times New Roman" w:eastAsia="宋体" w:cs="Times New Roman"/>
                <w:color w:val="auto"/>
                <w:sz w:val="24"/>
                <w:szCs w:val="24"/>
                <w:highlight w:val="none"/>
                <w:lang w:val="en-US" w:eastAsia="zh-CN"/>
              </w:rPr>
              <w:t>道路修建</w:t>
            </w:r>
            <w:r>
              <w:rPr>
                <w:rFonts w:hint="default" w:ascii="Times New Roman" w:hAnsi="Times New Roman" w:cs="Times New Roman"/>
                <w:color w:val="auto"/>
                <w:sz w:val="24"/>
                <w:szCs w:val="24"/>
                <w:highlight w:val="none"/>
                <w:lang w:eastAsia="zh-CN"/>
              </w:rPr>
              <w:t>等，</w:t>
            </w:r>
            <w:r>
              <w:rPr>
                <w:rFonts w:hint="default" w:ascii="Times New Roman" w:hAnsi="Times New Roman" w:cs="Times New Roman"/>
                <w:color w:val="auto"/>
                <w:sz w:val="24"/>
                <w:szCs w:val="24"/>
                <w:highlight w:val="none"/>
              </w:rPr>
              <w:t>对整个施工期而言，施工扬尘主要集中在</w:t>
            </w:r>
            <w:r>
              <w:rPr>
                <w:rFonts w:hint="default" w:ascii="Times New Roman" w:hAnsi="Times New Roman" w:cs="Times New Roman"/>
                <w:color w:val="auto"/>
                <w:sz w:val="24"/>
                <w:szCs w:val="24"/>
                <w:highlight w:val="none"/>
                <w:lang w:val="en-US" w:eastAsia="zh-CN"/>
              </w:rPr>
              <w:t>基础</w:t>
            </w:r>
            <w:r>
              <w:rPr>
                <w:rFonts w:hint="default" w:ascii="Times New Roman" w:hAnsi="Times New Roman" w:cs="Times New Roman"/>
                <w:color w:val="auto"/>
                <w:sz w:val="24"/>
                <w:szCs w:val="24"/>
                <w:highlight w:val="none"/>
              </w:rPr>
              <w:t>施工阶段，扬尘产生量主要取决于风速及地表干湿状况。项目施工过程中地面扰动较大，在不采取必要的防尘措施条件下，受风蚀作用影响，将进一步造成土壤侵蚀，而且扬尘对空气环境的影响也将有所加重。</w:t>
            </w:r>
          </w:p>
          <w:p w14:paraId="761384AA">
            <w:pPr>
              <w:keepNext w:val="0"/>
              <w:keepLines w:val="0"/>
              <w:pageBreakBefore w:val="0"/>
              <w:widowControl w:val="0"/>
              <w:tabs>
                <w:tab w:val="left" w:pos="6480"/>
              </w:tabs>
              <w:wordWrap/>
              <w:topLinePunct w:val="0"/>
              <w:bidi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为减轻</w:t>
            </w:r>
            <w:r>
              <w:rPr>
                <w:rFonts w:hint="eastAsia" w:cs="Times New Roman"/>
                <w:color w:val="auto"/>
                <w:sz w:val="24"/>
                <w:szCs w:val="24"/>
                <w:highlight w:val="none"/>
                <w:lang w:eastAsia="zh-CN"/>
              </w:rPr>
              <w:t>本项目</w:t>
            </w:r>
            <w:r>
              <w:rPr>
                <w:rFonts w:hint="default" w:ascii="Times New Roman" w:hAnsi="Times New Roman" w:cs="Times New Roman"/>
                <w:color w:val="auto"/>
                <w:sz w:val="24"/>
                <w:szCs w:val="24"/>
                <w:highlight w:val="none"/>
              </w:rPr>
              <w:t>施工过程中扬尘对环境的污染，建议采取禁止大风（4级以上）天气施工、对施工场地经常性洒水、减少地面扰动面积、限制运输车辆行驶速度、对运输车辆覆盖篷布、加强施工管理等措施，以减少扬尘对周边环境造成的影响。同时</w:t>
            </w:r>
            <w:r>
              <w:rPr>
                <w:rFonts w:hint="default" w:ascii="Times New Roman" w:hAnsi="Times New Roman" w:cs="Times New Roman"/>
                <w:color w:val="auto"/>
                <w:sz w:val="24"/>
                <w:szCs w:val="24"/>
                <w:highlight w:val="none"/>
                <w:lang w:eastAsia="zh-CN"/>
              </w:rPr>
              <w:t>工程</w:t>
            </w:r>
            <w:r>
              <w:rPr>
                <w:rFonts w:hint="default" w:ascii="Times New Roman" w:hAnsi="Times New Roman" w:cs="Times New Roman"/>
                <w:color w:val="auto"/>
                <w:sz w:val="24"/>
                <w:szCs w:val="24"/>
                <w:highlight w:val="none"/>
              </w:rPr>
              <w:t>基坑开挖后，尽快浇筑混凝土，并及时回填，</w:t>
            </w:r>
            <w:r>
              <w:rPr>
                <w:rFonts w:hint="default" w:ascii="Times New Roman" w:hAnsi="Times New Roman" w:cs="Times New Roman"/>
                <w:color w:val="auto"/>
                <w:sz w:val="24"/>
                <w:szCs w:val="24"/>
                <w:highlight w:val="none"/>
                <w:lang w:eastAsia="zh-CN"/>
              </w:rPr>
              <w:t>对其</w:t>
            </w:r>
            <w:r>
              <w:rPr>
                <w:rFonts w:hint="default" w:ascii="Times New Roman" w:hAnsi="Times New Roman" w:cs="Times New Roman"/>
                <w:color w:val="auto"/>
                <w:sz w:val="24"/>
                <w:szCs w:val="24"/>
                <w:highlight w:val="none"/>
              </w:rPr>
              <w:t>表层进行碾压，缩短裸露时间，减少扬尘。施工</w:t>
            </w:r>
            <w:r>
              <w:rPr>
                <w:rFonts w:hint="default" w:ascii="Times New Roman" w:hAnsi="Times New Roman" w:cs="Times New Roman"/>
                <w:color w:val="auto"/>
                <w:sz w:val="24"/>
                <w:szCs w:val="24"/>
                <w:highlight w:val="none"/>
                <w:lang w:eastAsia="zh-CN"/>
              </w:rPr>
              <w:t>期间开挖的土方及时回填，施工结束后迹地恢复，</w:t>
            </w:r>
            <w:r>
              <w:rPr>
                <w:rFonts w:hint="default" w:ascii="Times New Roman" w:hAnsi="Times New Roman" w:cs="Times New Roman"/>
                <w:color w:val="auto"/>
                <w:sz w:val="24"/>
                <w:szCs w:val="24"/>
                <w:highlight w:val="none"/>
              </w:rPr>
              <w:t>通过采取上述措施，可有效减轻无组织排放扬尘的产生，降低施工期扬尘对大气环境的影响。</w:t>
            </w:r>
          </w:p>
          <w:p w14:paraId="7CC5ED3A">
            <w:pPr>
              <w:keepNext w:val="0"/>
              <w:keepLines w:val="0"/>
              <w:pageBreakBefore w:val="0"/>
              <w:widowControl w:val="0"/>
              <w:tabs>
                <w:tab w:val="left" w:pos="6480"/>
              </w:tabs>
              <w:wordWrap/>
              <w:topLinePunct w:val="0"/>
              <w:bidi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道路扬尘</w:t>
            </w:r>
          </w:p>
          <w:p w14:paraId="7C0E1841">
            <w:pPr>
              <w:keepNext w:val="0"/>
              <w:keepLines w:val="0"/>
              <w:pageBreakBefore w:val="0"/>
              <w:widowControl w:val="0"/>
              <w:tabs>
                <w:tab w:val="left" w:pos="6480"/>
              </w:tabs>
              <w:wordWrap/>
              <w:topLinePunct w:val="0"/>
              <w:bidi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施工期设备、材料运输过程中车辆的往来将产生道路二次扬尘污染，运输车辆的行驶速度越快，扬尘产生量越大。环评建议采取降低车速、定期</w:t>
            </w:r>
            <w:r>
              <w:rPr>
                <w:rFonts w:hint="default" w:ascii="Times New Roman" w:hAnsi="Times New Roman" w:cs="Times New Roman"/>
                <w:color w:val="auto"/>
                <w:sz w:val="24"/>
                <w:szCs w:val="24"/>
                <w:highlight w:val="none"/>
                <w:lang w:eastAsia="zh-CN"/>
              </w:rPr>
              <w:t>洒水、篷布密闭运输、加强管理等</w:t>
            </w:r>
            <w:r>
              <w:rPr>
                <w:rFonts w:hint="default" w:ascii="Times New Roman" w:hAnsi="Times New Roman" w:cs="Times New Roman"/>
                <w:color w:val="auto"/>
                <w:sz w:val="24"/>
                <w:szCs w:val="24"/>
                <w:highlight w:val="none"/>
              </w:rPr>
              <w:t>办法，可使扬尘大大降低，此外由于施工期是暂时性的，项目施工结束后，</w:t>
            </w:r>
            <w:r>
              <w:rPr>
                <w:rFonts w:hint="default" w:ascii="Times New Roman" w:hAnsi="Times New Roman" w:cs="Times New Roman"/>
                <w:color w:val="auto"/>
                <w:sz w:val="24"/>
                <w:szCs w:val="24"/>
                <w:highlight w:val="none"/>
                <w:lang w:eastAsia="zh-CN"/>
              </w:rPr>
              <w:t>道路扬尘</w:t>
            </w:r>
            <w:r>
              <w:rPr>
                <w:rFonts w:hint="default" w:ascii="Times New Roman" w:hAnsi="Times New Roman" w:cs="Times New Roman"/>
                <w:color w:val="auto"/>
                <w:sz w:val="24"/>
                <w:szCs w:val="24"/>
                <w:highlight w:val="none"/>
              </w:rPr>
              <w:t>污染将随之消失。</w:t>
            </w:r>
          </w:p>
          <w:p w14:paraId="36BB6360">
            <w:pPr>
              <w:keepNext w:val="0"/>
              <w:keepLines w:val="0"/>
              <w:pageBreakBefore w:val="0"/>
              <w:widowControl w:val="0"/>
              <w:tabs>
                <w:tab w:val="left" w:pos="6480"/>
              </w:tabs>
              <w:wordWrap/>
              <w:topLinePunct w:val="0"/>
              <w:bidi w:val="0"/>
              <w:spacing w:line="360" w:lineRule="auto"/>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施工机械及运输车辆产生的尾气</w:t>
            </w:r>
          </w:p>
          <w:p w14:paraId="64F939C4">
            <w:pPr>
              <w:keepNext w:val="0"/>
              <w:keepLines w:val="0"/>
              <w:pageBreakBefore w:val="0"/>
              <w:widowControl w:val="0"/>
              <w:tabs>
                <w:tab w:val="left" w:pos="6480"/>
              </w:tabs>
              <w:wordWrap/>
              <w:topLinePunct w:val="0"/>
              <w:bidi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除了施工扬尘</w:t>
            </w:r>
            <w:r>
              <w:rPr>
                <w:rFonts w:hint="default" w:ascii="Times New Roman" w:hAnsi="Times New Roman" w:cs="Times New Roman"/>
                <w:color w:val="auto"/>
                <w:sz w:val="24"/>
                <w:szCs w:val="24"/>
                <w:highlight w:val="none"/>
                <w:lang w:eastAsia="zh-CN"/>
              </w:rPr>
              <w:t>、道路扬尘</w:t>
            </w:r>
            <w:r>
              <w:rPr>
                <w:rFonts w:hint="default" w:ascii="Times New Roman" w:hAnsi="Times New Roman" w:cs="Times New Roman"/>
                <w:color w:val="auto"/>
                <w:sz w:val="24"/>
                <w:szCs w:val="24"/>
                <w:highlight w:val="none"/>
              </w:rPr>
              <w:t>外，施工机械及运输车辆产生的尾气对局部大气环境会造成影响，其主要污染物为NOx、CO和HC。</w:t>
            </w:r>
            <w:r>
              <w:rPr>
                <w:rFonts w:hint="default" w:ascii="Times New Roman" w:hAnsi="Times New Roman" w:cs="Times New Roman"/>
                <w:color w:val="auto"/>
                <w:sz w:val="24"/>
                <w:szCs w:val="24"/>
                <w:highlight w:val="none"/>
                <w:lang w:eastAsia="zh-CN"/>
              </w:rPr>
              <w:t>尾气影响范围</w:t>
            </w:r>
            <w:r>
              <w:rPr>
                <w:rFonts w:hint="default" w:ascii="Times New Roman" w:hAnsi="Times New Roman" w:cs="Times New Roman"/>
                <w:color w:val="auto"/>
                <w:sz w:val="24"/>
                <w:szCs w:val="24"/>
                <w:highlight w:val="none"/>
              </w:rPr>
              <w:t>主要局限于施工作业</w:t>
            </w:r>
            <w:r>
              <w:rPr>
                <w:rFonts w:hint="default" w:ascii="Times New Roman" w:hAnsi="Times New Roman" w:cs="Times New Roman"/>
                <w:color w:val="auto"/>
                <w:sz w:val="24"/>
                <w:szCs w:val="24"/>
                <w:highlight w:val="none"/>
                <w:lang w:eastAsia="zh-CN"/>
              </w:rPr>
              <w:t>区</w:t>
            </w:r>
            <w:r>
              <w:rPr>
                <w:rFonts w:hint="default" w:ascii="Times New Roman" w:hAnsi="Times New Roman" w:cs="Times New Roman"/>
                <w:color w:val="auto"/>
                <w:sz w:val="24"/>
                <w:szCs w:val="24"/>
                <w:highlight w:val="none"/>
              </w:rPr>
              <w:t>，排放量小而分散，且为暂时性的，故</w:t>
            </w:r>
            <w:r>
              <w:rPr>
                <w:rFonts w:hint="default" w:ascii="Times New Roman" w:hAnsi="Times New Roman" w:cs="Times New Roman"/>
                <w:color w:val="auto"/>
                <w:sz w:val="24"/>
                <w:szCs w:val="24"/>
                <w:highlight w:val="none"/>
                <w:lang w:eastAsia="zh-CN"/>
              </w:rPr>
              <w:t>排放尾气</w:t>
            </w:r>
            <w:r>
              <w:rPr>
                <w:rFonts w:hint="default" w:ascii="Times New Roman" w:hAnsi="Times New Roman" w:cs="Times New Roman"/>
                <w:color w:val="auto"/>
                <w:sz w:val="24"/>
                <w:szCs w:val="24"/>
                <w:highlight w:val="none"/>
              </w:rPr>
              <w:t>对周围环境影响</w:t>
            </w:r>
            <w:r>
              <w:rPr>
                <w:rFonts w:hint="default" w:ascii="Times New Roman" w:hAnsi="Times New Roman" w:cs="Times New Roman"/>
                <w:color w:val="auto"/>
                <w:sz w:val="24"/>
                <w:szCs w:val="24"/>
                <w:highlight w:val="none"/>
                <w:lang w:eastAsia="zh-CN"/>
              </w:rPr>
              <w:t>不大</w:t>
            </w:r>
            <w:r>
              <w:rPr>
                <w:rFonts w:hint="default" w:ascii="Times New Roman" w:hAnsi="Times New Roman" w:cs="Times New Roman"/>
                <w:color w:val="auto"/>
                <w:sz w:val="24"/>
                <w:szCs w:val="24"/>
                <w:highlight w:val="none"/>
              </w:rPr>
              <w:t>。</w:t>
            </w:r>
          </w:p>
          <w:p w14:paraId="3AB32CD1">
            <w:pPr>
              <w:keepNext w:val="0"/>
              <w:keepLines w:val="0"/>
              <w:pageBreakBefore w:val="0"/>
              <w:widowControl w:val="0"/>
              <w:wordWrap/>
              <w:topLinePunct w:val="0"/>
              <w:bidi w:val="0"/>
              <w:spacing w:before="120" w:beforeLines="50" w:line="360" w:lineRule="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2.</w:t>
            </w:r>
            <w:r>
              <w:rPr>
                <w:rFonts w:hint="default" w:ascii="Times New Roman" w:hAnsi="Times New Roman" w:cs="Times New Roman"/>
                <w:b/>
                <w:bCs/>
                <w:color w:val="auto"/>
                <w:sz w:val="24"/>
                <w:szCs w:val="24"/>
                <w:highlight w:val="none"/>
              </w:rPr>
              <w:t>施工期水环境影响分析</w:t>
            </w:r>
          </w:p>
          <w:p w14:paraId="659AEF92">
            <w:pPr>
              <w:keepNext w:val="0"/>
              <w:keepLines w:val="0"/>
              <w:pageBreakBefore w:val="0"/>
              <w:widowControl w:val="0"/>
              <w:wordWrap/>
              <w:topLinePunct w:val="0"/>
              <w:bidi w:val="0"/>
              <w:adjustRightInd w:val="0"/>
              <w:snapToGrid w:val="0"/>
              <w:spacing w:line="360" w:lineRule="auto"/>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2.1污染源分析</w:t>
            </w:r>
          </w:p>
          <w:p w14:paraId="1B0B720B">
            <w:pPr>
              <w:keepNext w:val="0"/>
              <w:keepLines w:val="0"/>
              <w:pageBreakBefore w:val="0"/>
              <w:widowControl w:val="0"/>
              <w:tabs>
                <w:tab w:val="left" w:pos="6480"/>
              </w:tabs>
              <w:wordWrap/>
              <w:topLinePunct w:val="0"/>
              <w:bidi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施工期废水主要有施工废水和施工人员生活污水。</w:t>
            </w:r>
          </w:p>
          <w:p w14:paraId="348BC15E">
            <w:pPr>
              <w:keepNext w:val="0"/>
              <w:keepLines w:val="0"/>
              <w:pageBreakBefore w:val="0"/>
              <w:widowControl w:val="0"/>
              <w:tabs>
                <w:tab w:val="left" w:pos="6480"/>
              </w:tabs>
              <w:wordWrap/>
              <w:topLinePunct w:val="0"/>
              <w:bidi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施工废水主要是少量的机械清洗废水等，主要污染物为泥沙、SS</w:t>
            </w:r>
            <w:r>
              <w:rPr>
                <w:rFonts w:hint="default" w:ascii="Times New Roman" w:hAnsi="Times New Roman" w:cs="Times New Roman"/>
                <w:color w:val="auto"/>
                <w:sz w:val="24"/>
                <w:szCs w:val="24"/>
                <w:highlight w:val="none"/>
                <w:lang w:eastAsia="zh-CN"/>
              </w:rPr>
              <w:t>、石油类</w:t>
            </w:r>
            <w:r>
              <w:rPr>
                <w:rFonts w:hint="default" w:ascii="Times New Roman" w:hAnsi="Times New Roman" w:cs="Times New Roman"/>
                <w:color w:val="auto"/>
                <w:sz w:val="24"/>
                <w:szCs w:val="24"/>
                <w:highlight w:val="none"/>
              </w:rPr>
              <w:t>。</w:t>
            </w:r>
          </w:p>
          <w:p w14:paraId="74F0D497">
            <w:pPr>
              <w:keepNext w:val="0"/>
              <w:keepLines w:val="0"/>
              <w:pageBreakBefore w:val="0"/>
              <w:widowControl w:val="0"/>
              <w:tabs>
                <w:tab w:val="left" w:pos="6480"/>
              </w:tabs>
              <w:wordWrap/>
              <w:topLinePunct w:val="0"/>
              <w:bidi w:val="0"/>
              <w:spacing w:line="360" w:lineRule="auto"/>
              <w:ind w:firstLine="480" w:firstLineChars="200"/>
              <w:rPr>
                <w:rFonts w:hint="default" w:ascii="Times New Roman" w:hAnsi="Times New Roman" w:eastAsia="宋体" w:cs="Times New Roman"/>
                <w:b w:val="0"/>
                <w:bCs/>
                <w:color w:val="auto"/>
                <w:sz w:val="24"/>
                <w:szCs w:val="24"/>
                <w:highlight w:val="none"/>
              </w:rPr>
            </w:pPr>
            <w:r>
              <w:rPr>
                <w:rFonts w:hint="default" w:ascii="Times New Roman" w:hAnsi="Times New Roman" w:cs="Times New Roman"/>
                <w:b w:val="0"/>
                <w:bCs/>
                <w:color w:val="auto"/>
                <w:sz w:val="24"/>
                <w:szCs w:val="24"/>
                <w:highlight w:val="none"/>
              </w:rPr>
              <w:t>生活污水来自施工人员日常生活污水</w:t>
            </w:r>
            <w:r>
              <w:rPr>
                <w:rFonts w:hint="default" w:ascii="Times New Roman" w:hAnsi="Times New Roman" w:cs="Times New Roman"/>
                <w:b w:val="0"/>
                <w:bCs/>
                <w:color w:val="auto"/>
                <w:sz w:val="24"/>
                <w:szCs w:val="24"/>
                <w:highlight w:val="none"/>
                <w:lang w:eastAsia="zh-CN"/>
              </w:rPr>
              <w:t>，项目</w:t>
            </w:r>
            <w:r>
              <w:rPr>
                <w:rFonts w:hint="default" w:ascii="Times New Roman" w:hAnsi="Times New Roman" w:eastAsia="宋体" w:cs="Times New Roman"/>
                <w:b w:val="0"/>
                <w:bCs/>
                <w:color w:val="auto"/>
                <w:sz w:val="24"/>
                <w:szCs w:val="24"/>
                <w:highlight w:val="none"/>
              </w:rPr>
              <w:t>平均每天施工人数</w:t>
            </w:r>
            <w:r>
              <w:rPr>
                <w:rFonts w:hint="eastAsia" w:ascii="Times New Roman" w:hAnsi="Times New Roman" w:eastAsia="宋体" w:cs="Times New Roman"/>
                <w:b w:val="0"/>
                <w:bCs/>
                <w:color w:val="auto"/>
                <w:sz w:val="24"/>
                <w:szCs w:val="24"/>
                <w:highlight w:val="none"/>
                <w:lang w:val="en-US" w:eastAsia="zh-CN"/>
              </w:rPr>
              <w:t>100</w:t>
            </w:r>
            <w:r>
              <w:rPr>
                <w:rFonts w:hint="default" w:ascii="Times New Roman" w:hAnsi="Times New Roman" w:eastAsia="宋体" w:cs="Times New Roman"/>
                <w:b w:val="0"/>
                <w:bCs/>
                <w:color w:val="auto"/>
                <w:sz w:val="24"/>
                <w:szCs w:val="24"/>
                <w:highlight w:val="none"/>
              </w:rPr>
              <w:t>人</w:t>
            </w:r>
            <w:r>
              <w:rPr>
                <w:rFonts w:hint="default" w:ascii="Times New Roman" w:hAnsi="Times New Roman" w:eastAsia="宋体" w:cs="Times New Roman"/>
                <w:b w:val="0"/>
                <w:bCs/>
                <w:color w:val="auto"/>
                <w:spacing w:val="0"/>
                <w:kern w:val="2"/>
                <w:sz w:val="24"/>
                <w:szCs w:val="24"/>
                <w:highlight w:val="none"/>
                <w:lang w:val="en-US" w:eastAsia="zh-CN" w:bidi="ar-SA"/>
              </w:rPr>
              <w:t>，</w:t>
            </w:r>
            <w:r>
              <w:rPr>
                <w:rFonts w:hint="default" w:ascii="Times New Roman" w:hAnsi="Times New Roman" w:eastAsia="宋体" w:cs="Times New Roman"/>
                <w:b w:val="0"/>
                <w:bCs/>
                <w:color w:val="auto"/>
                <w:sz w:val="24"/>
                <w:szCs w:val="24"/>
                <w:highlight w:val="none"/>
              </w:rPr>
              <w:t>项目施工期</w:t>
            </w:r>
            <w:r>
              <w:rPr>
                <w:rFonts w:hint="eastAsia" w:ascii="Times New Roman" w:hAnsi="Times New Roman" w:eastAsia="宋体" w:cs="Times New Roman"/>
                <w:b w:val="0"/>
                <w:bCs/>
                <w:color w:val="auto"/>
                <w:sz w:val="24"/>
                <w:szCs w:val="24"/>
                <w:highlight w:val="none"/>
                <w:lang w:val="en-US" w:eastAsia="zh-CN"/>
              </w:rPr>
              <w:t>6</w:t>
            </w:r>
            <w:r>
              <w:rPr>
                <w:rFonts w:hint="default" w:ascii="Times New Roman" w:hAnsi="Times New Roman" w:eastAsia="宋体" w:cs="Times New Roman"/>
                <w:b w:val="0"/>
                <w:bCs/>
                <w:color w:val="auto"/>
                <w:sz w:val="24"/>
                <w:szCs w:val="24"/>
                <w:highlight w:val="none"/>
              </w:rPr>
              <w:t>个月，按每人每天用水量</w:t>
            </w:r>
            <w:r>
              <w:rPr>
                <w:rFonts w:hint="default" w:ascii="Times New Roman" w:hAnsi="Times New Roman" w:eastAsia="宋体" w:cs="Times New Roman"/>
                <w:b w:val="0"/>
                <w:bCs/>
                <w:color w:val="auto"/>
                <w:sz w:val="24"/>
                <w:szCs w:val="24"/>
                <w:highlight w:val="none"/>
                <w:lang w:val="en-US" w:eastAsia="zh-CN"/>
              </w:rPr>
              <w:t>50</w:t>
            </w:r>
            <w:r>
              <w:rPr>
                <w:rFonts w:hint="default" w:ascii="Times New Roman" w:hAnsi="Times New Roman" w:eastAsia="宋体" w:cs="Times New Roman"/>
                <w:b w:val="0"/>
                <w:bCs/>
                <w:color w:val="auto"/>
                <w:sz w:val="24"/>
                <w:szCs w:val="24"/>
                <w:highlight w:val="none"/>
              </w:rPr>
              <w:t>L计，</w:t>
            </w:r>
            <w:r>
              <w:rPr>
                <w:rFonts w:hint="default" w:ascii="Times New Roman" w:hAnsi="Times New Roman" w:eastAsia="宋体" w:cs="Times New Roman"/>
                <w:b w:val="0"/>
                <w:bCs/>
                <w:color w:val="auto"/>
                <w:sz w:val="24"/>
                <w:szCs w:val="24"/>
                <w:highlight w:val="none"/>
                <w:lang w:val="en-US" w:eastAsia="zh-CN"/>
              </w:rPr>
              <w:t>总</w:t>
            </w:r>
            <w:r>
              <w:rPr>
                <w:rFonts w:hint="default" w:ascii="Times New Roman" w:hAnsi="Times New Roman" w:eastAsia="宋体" w:cs="Times New Roman"/>
                <w:b w:val="0"/>
                <w:bCs/>
                <w:color w:val="auto"/>
                <w:sz w:val="24"/>
                <w:szCs w:val="24"/>
                <w:highlight w:val="none"/>
              </w:rPr>
              <w:t>用水量为</w:t>
            </w:r>
            <w:r>
              <w:rPr>
                <w:rFonts w:hint="eastAsia" w:ascii="Times New Roman" w:hAnsi="Times New Roman" w:eastAsia="宋体" w:cs="Times New Roman"/>
                <w:b w:val="0"/>
                <w:bCs/>
                <w:color w:val="auto"/>
                <w:sz w:val="24"/>
                <w:szCs w:val="24"/>
                <w:highlight w:val="none"/>
                <w:lang w:val="en-US" w:eastAsia="zh-CN"/>
              </w:rPr>
              <w:t>900</w:t>
            </w:r>
            <w:r>
              <w:rPr>
                <w:rFonts w:hint="default" w:ascii="Times New Roman" w:hAnsi="Times New Roman" w:eastAsia="宋体" w:cs="Times New Roman"/>
                <w:b w:val="0"/>
                <w:bCs/>
                <w:color w:val="auto"/>
                <w:sz w:val="24"/>
                <w:szCs w:val="24"/>
                <w:highlight w:val="none"/>
              </w:rPr>
              <w:t>m</w:t>
            </w:r>
            <w:r>
              <w:rPr>
                <w:rFonts w:hint="default" w:ascii="Times New Roman" w:hAnsi="Times New Roman" w:eastAsia="宋体" w:cs="Times New Roman"/>
                <w:b w:val="0"/>
                <w:bCs/>
                <w:color w:val="auto"/>
                <w:sz w:val="24"/>
                <w:szCs w:val="24"/>
                <w:highlight w:val="none"/>
                <w:vertAlign w:val="superscript"/>
              </w:rPr>
              <w:t>3</w:t>
            </w:r>
            <w:r>
              <w:rPr>
                <w:rFonts w:hint="default" w:ascii="Times New Roman" w:hAnsi="Times New Roman" w:eastAsia="宋体" w:cs="Times New Roman"/>
                <w:b w:val="0"/>
                <w:bCs/>
                <w:color w:val="auto"/>
                <w:spacing w:val="0"/>
                <w:kern w:val="2"/>
                <w:sz w:val="24"/>
                <w:szCs w:val="24"/>
                <w:highlight w:val="none"/>
                <w:lang w:val="en-US" w:eastAsia="zh-CN" w:bidi="ar-SA"/>
              </w:rPr>
              <w:t>，</w:t>
            </w:r>
            <w:r>
              <w:rPr>
                <w:rFonts w:hint="default" w:ascii="Times New Roman" w:hAnsi="Times New Roman" w:eastAsia="宋体" w:cs="Times New Roman"/>
                <w:b w:val="0"/>
                <w:bCs/>
                <w:color w:val="auto"/>
                <w:sz w:val="24"/>
                <w:szCs w:val="24"/>
                <w:highlight w:val="none"/>
              </w:rPr>
              <w:t>排放量按照用水量的80%计算，生活污水</w:t>
            </w:r>
            <w:r>
              <w:rPr>
                <w:rFonts w:hint="default" w:ascii="Times New Roman" w:hAnsi="Times New Roman" w:eastAsia="宋体" w:cs="Times New Roman"/>
                <w:b w:val="0"/>
                <w:bCs/>
                <w:color w:val="auto"/>
                <w:sz w:val="24"/>
                <w:szCs w:val="24"/>
                <w:highlight w:val="none"/>
                <w:lang w:val="en-US" w:eastAsia="zh-CN"/>
              </w:rPr>
              <w:t>总</w:t>
            </w:r>
            <w:r>
              <w:rPr>
                <w:rFonts w:hint="default" w:ascii="Times New Roman" w:hAnsi="Times New Roman" w:eastAsia="宋体" w:cs="Times New Roman"/>
                <w:b w:val="0"/>
                <w:bCs/>
                <w:color w:val="auto"/>
                <w:sz w:val="24"/>
                <w:szCs w:val="24"/>
                <w:highlight w:val="none"/>
              </w:rPr>
              <w:t>排放量为</w:t>
            </w:r>
            <w:r>
              <w:rPr>
                <w:rFonts w:hint="eastAsia" w:ascii="Times New Roman" w:hAnsi="Times New Roman" w:eastAsia="宋体" w:cs="Times New Roman"/>
                <w:b w:val="0"/>
                <w:bCs/>
                <w:color w:val="auto"/>
                <w:sz w:val="24"/>
                <w:szCs w:val="24"/>
                <w:highlight w:val="none"/>
                <w:lang w:val="en-US" w:eastAsia="zh-CN"/>
              </w:rPr>
              <w:t>720</w:t>
            </w:r>
            <w:r>
              <w:rPr>
                <w:rFonts w:hint="default" w:ascii="Times New Roman" w:hAnsi="Times New Roman" w:eastAsia="宋体" w:cs="Times New Roman"/>
                <w:b w:val="0"/>
                <w:bCs/>
                <w:color w:val="auto"/>
                <w:sz w:val="24"/>
                <w:szCs w:val="24"/>
                <w:highlight w:val="none"/>
              </w:rPr>
              <w:t>m</w:t>
            </w:r>
            <w:r>
              <w:rPr>
                <w:rFonts w:hint="default" w:ascii="Times New Roman" w:hAnsi="Times New Roman" w:eastAsia="宋体" w:cs="Times New Roman"/>
                <w:b w:val="0"/>
                <w:bCs/>
                <w:color w:val="auto"/>
                <w:sz w:val="24"/>
                <w:szCs w:val="24"/>
                <w:highlight w:val="none"/>
                <w:vertAlign w:val="superscript"/>
              </w:rPr>
              <w:t>3</w:t>
            </w:r>
            <w:r>
              <w:rPr>
                <w:rFonts w:hint="default" w:ascii="Times New Roman" w:hAnsi="Times New Roman" w:eastAsia="宋体" w:cs="Times New Roman"/>
                <w:b w:val="0"/>
                <w:bCs/>
                <w:color w:val="auto"/>
                <w:sz w:val="24"/>
                <w:szCs w:val="24"/>
                <w:highlight w:val="none"/>
              </w:rPr>
              <w:t>。</w:t>
            </w:r>
          </w:p>
          <w:p w14:paraId="1415FB51">
            <w:pPr>
              <w:keepNext w:val="0"/>
              <w:keepLines w:val="0"/>
              <w:pageBreakBefore w:val="0"/>
              <w:widowControl w:val="0"/>
              <w:wordWrap/>
              <w:topLinePunct w:val="0"/>
              <w:bidi w:val="0"/>
              <w:adjustRightInd w:val="0"/>
              <w:snapToGrid w:val="0"/>
              <w:spacing w:line="360" w:lineRule="auto"/>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2.2影响分析</w:t>
            </w:r>
          </w:p>
          <w:p w14:paraId="20BFCEB2">
            <w:pPr>
              <w:keepNext w:val="0"/>
              <w:keepLines w:val="0"/>
              <w:pageBreakBefore w:val="0"/>
              <w:widowControl w:val="0"/>
              <w:tabs>
                <w:tab w:val="left" w:pos="6480"/>
              </w:tabs>
              <w:wordWrap/>
              <w:topLinePunct w:val="0"/>
              <w:bidi w:val="0"/>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施工废水经隔油沉淀池处理后回用，不外排。</w:t>
            </w:r>
          </w:p>
          <w:p w14:paraId="6FBB2D0A">
            <w:pPr>
              <w:keepNext w:val="0"/>
              <w:keepLines w:val="0"/>
              <w:pageBreakBefore w:val="0"/>
              <w:widowControl w:val="0"/>
              <w:tabs>
                <w:tab w:val="left" w:pos="6480"/>
              </w:tabs>
              <w:wordWrap/>
              <w:topLinePunct w:val="0"/>
              <w:bidi w:val="0"/>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施工期生活污水经</w:t>
            </w:r>
            <w:r>
              <w:rPr>
                <w:rFonts w:hint="eastAsia" w:ascii="Times New Roman" w:hAnsi="Times New Roman" w:eastAsia="宋体" w:cs="Times New Roman"/>
                <w:color w:val="auto"/>
                <w:sz w:val="24"/>
                <w:szCs w:val="24"/>
                <w:highlight w:val="none"/>
                <w:lang w:val="en-US" w:eastAsia="zh-CN"/>
              </w:rPr>
              <w:t>管网进入园区污水处理厂处理</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对周围水环境影响不大。</w:t>
            </w:r>
          </w:p>
          <w:p w14:paraId="1A5F8CA8">
            <w:pPr>
              <w:keepNext w:val="0"/>
              <w:keepLines w:val="0"/>
              <w:pageBreakBefore w:val="0"/>
              <w:widowControl w:val="0"/>
              <w:wordWrap/>
              <w:topLinePunct w:val="0"/>
              <w:bidi w:val="0"/>
              <w:spacing w:before="120" w:beforeLines="50" w:line="360" w:lineRule="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3.</w:t>
            </w:r>
            <w:r>
              <w:rPr>
                <w:rFonts w:hint="default" w:ascii="Times New Roman" w:hAnsi="Times New Roman" w:cs="Times New Roman"/>
                <w:b/>
                <w:bCs/>
                <w:color w:val="auto"/>
                <w:sz w:val="24"/>
                <w:szCs w:val="24"/>
                <w:highlight w:val="none"/>
              </w:rPr>
              <w:t>施工期噪声影响分析</w:t>
            </w:r>
          </w:p>
          <w:p w14:paraId="4B9273A6">
            <w:pPr>
              <w:keepNext w:val="0"/>
              <w:keepLines w:val="0"/>
              <w:pageBreakBefore w:val="0"/>
              <w:widowControl w:val="0"/>
              <w:wordWrap/>
              <w:topLinePunct w:val="0"/>
              <w:bidi w:val="0"/>
              <w:adjustRightInd w:val="0"/>
              <w:snapToGrid w:val="0"/>
              <w:spacing w:line="360" w:lineRule="auto"/>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施工期噪声主要</w:t>
            </w:r>
            <w:r>
              <w:rPr>
                <w:rFonts w:hint="default" w:ascii="Times New Roman" w:hAnsi="Times New Roman" w:cs="Times New Roman"/>
                <w:color w:val="auto"/>
                <w:sz w:val="24"/>
                <w:szCs w:val="24"/>
                <w:highlight w:val="none"/>
                <w:lang w:eastAsia="zh-CN"/>
              </w:rPr>
              <w:t>为</w:t>
            </w:r>
            <w:r>
              <w:rPr>
                <w:rFonts w:hint="default" w:ascii="Times New Roman" w:hAnsi="Times New Roman" w:cs="Times New Roman"/>
                <w:color w:val="auto"/>
                <w:sz w:val="24"/>
                <w:szCs w:val="24"/>
                <w:highlight w:val="none"/>
              </w:rPr>
              <w:t>施工机械噪声和运输车辆噪声</w:t>
            </w:r>
            <w:r>
              <w:rPr>
                <w:rFonts w:hint="default" w:ascii="Times New Roman" w:hAnsi="Times New Roman" w:cs="Times New Roman"/>
                <w:color w:val="auto"/>
                <w:sz w:val="24"/>
                <w:szCs w:val="24"/>
                <w:highlight w:val="none"/>
                <w:lang w:eastAsia="zh-CN"/>
              </w:rPr>
              <w:t>。</w:t>
            </w:r>
          </w:p>
          <w:p w14:paraId="059934ED">
            <w:pPr>
              <w:keepNext w:val="0"/>
              <w:keepLines w:val="0"/>
              <w:pageBreakBefore w:val="0"/>
              <w:widowControl w:val="0"/>
              <w:wordWrap/>
              <w:topLinePunct w:val="0"/>
              <w:bidi w:val="0"/>
              <w:adjustRightInd w:val="0"/>
              <w:snapToGrid w:val="0"/>
              <w:spacing w:line="360" w:lineRule="auto"/>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3.1施工机械噪声</w:t>
            </w:r>
          </w:p>
          <w:p w14:paraId="404713B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施工噪声对环境的影响主要来自挖掘机、起重机等施工机械，噪声污染主要集中在</w:t>
            </w:r>
            <w:r>
              <w:rPr>
                <w:rFonts w:hint="default" w:ascii="Times New Roman" w:hAnsi="Times New Roman" w:cs="Times New Roman"/>
                <w:color w:val="auto"/>
                <w:sz w:val="24"/>
                <w:szCs w:val="24"/>
                <w:highlight w:val="none"/>
                <w:lang w:val="en-US" w:eastAsia="zh-CN"/>
              </w:rPr>
              <w:t>场地平整、</w:t>
            </w:r>
            <w:r>
              <w:rPr>
                <w:rFonts w:hint="default" w:ascii="Times New Roman" w:hAnsi="Times New Roman" w:eastAsia="宋体" w:cs="Times New Roman"/>
                <w:color w:val="auto"/>
                <w:sz w:val="24"/>
                <w:szCs w:val="24"/>
                <w:highlight w:val="none"/>
                <w:lang w:val="en-US" w:eastAsia="zh-CN"/>
              </w:rPr>
              <w:t>基础开挖</w:t>
            </w:r>
            <w:r>
              <w:rPr>
                <w:rFonts w:hint="default" w:ascii="Times New Roman" w:hAnsi="Times New Roman" w:cs="Times New Roman"/>
                <w:color w:val="auto"/>
                <w:sz w:val="24"/>
                <w:szCs w:val="24"/>
                <w:highlight w:val="none"/>
              </w:rPr>
              <w:t>期间，这些设备运行产生的噪声级都比较高，主要施工机械如挖掘机，噪声峰值可达95dB(A)，在多台机械设备同时作业时，</w:t>
            </w:r>
            <w:r>
              <w:rPr>
                <w:rFonts w:hint="default" w:ascii="Times New Roman" w:hAnsi="Times New Roman" w:cs="Times New Roman"/>
                <w:color w:val="auto"/>
                <w:sz w:val="24"/>
                <w:szCs w:val="24"/>
                <w:highlight w:val="none"/>
                <w:lang w:val="en-US" w:eastAsia="zh-CN"/>
              </w:rPr>
              <w:t>噪</w:t>
            </w:r>
            <w:r>
              <w:rPr>
                <w:rFonts w:hint="default" w:ascii="Times New Roman" w:hAnsi="Times New Roman" w:cs="Times New Roman"/>
                <w:color w:val="auto"/>
                <w:sz w:val="24"/>
                <w:szCs w:val="24"/>
                <w:highlight w:val="none"/>
              </w:rPr>
              <w:t>声将产生叠加。根据类比调查，产生较大噪声的</w:t>
            </w:r>
            <w:r>
              <w:rPr>
                <w:rFonts w:hint="default" w:ascii="Times New Roman" w:hAnsi="Times New Roman" w:cs="Times New Roman"/>
                <w:color w:val="auto"/>
                <w:sz w:val="24"/>
                <w:szCs w:val="24"/>
                <w:highlight w:val="none"/>
                <w:lang w:val="en-US" w:eastAsia="zh-CN"/>
              </w:rPr>
              <w:t>挖掘机</w:t>
            </w:r>
            <w:r>
              <w:rPr>
                <w:rFonts w:hint="default" w:ascii="Times New Roman" w:hAnsi="Times New Roman" w:cs="Times New Roman"/>
                <w:color w:val="auto"/>
                <w:sz w:val="24"/>
                <w:szCs w:val="24"/>
                <w:highlight w:val="none"/>
              </w:rPr>
              <w:t>，其噪声在100m外可衰减至60dB(A)以下。</w:t>
            </w:r>
            <w:r>
              <w:rPr>
                <w:rFonts w:hint="eastAsia" w:cs="Times New Roman"/>
                <w:color w:val="auto"/>
                <w:sz w:val="24"/>
                <w:szCs w:val="24"/>
                <w:highlight w:val="none"/>
                <w:lang w:eastAsia="zh-CN"/>
              </w:rPr>
              <w:t>本项目</w:t>
            </w:r>
            <w:r>
              <w:rPr>
                <w:rFonts w:hint="default" w:ascii="Times New Roman" w:hAnsi="Times New Roman" w:cs="Times New Roman"/>
                <w:color w:val="auto"/>
                <w:sz w:val="24"/>
                <w:szCs w:val="24"/>
                <w:highlight w:val="none"/>
              </w:rPr>
              <w:t>周围</w:t>
            </w:r>
            <w:r>
              <w:rPr>
                <w:rFonts w:hint="eastAsia" w:cs="Times New Roman"/>
                <w:color w:val="auto"/>
                <w:sz w:val="24"/>
                <w:szCs w:val="24"/>
                <w:highlight w:val="none"/>
                <w:lang w:val="en-US" w:eastAsia="zh-CN"/>
              </w:rPr>
              <w:t>较为</w:t>
            </w:r>
            <w:r>
              <w:rPr>
                <w:rFonts w:hint="default" w:ascii="Times New Roman" w:hAnsi="Times New Roman" w:cs="Times New Roman"/>
                <w:color w:val="auto"/>
                <w:sz w:val="24"/>
                <w:szCs w:val="24"/>
                <w:highlight w:val="none"/>
              </w:rPr>
              <w:t>空旷，且无声环境敏感点分布，故项目建设对周围声环境影响很小</w:t>
            </w:r>
            <w:r>
              <w:rPr>
                <w:rFonts w:hint="default" w:ascii="Times New Roman" w:hAnsi="Times New Roman" w:cs="Times New Roman"/>
                <w:color w:val="auto"/>
                <w:sz w:val="24"/>
                <w:szCs w:val="24"/>
                <w:highlight w:val="none"/>
                <w:lang w:eastAsia="zh-CN"/>
              </w:rPr>
              <w:t>。</w:t>
            </w:r>
          </w:p>
          <w:p w14:paraId="75D51796">
            <w:pPr>
              <w:keepNext w:val="0"/>
              <w:keepLines w:val="0"/>
              <w:pageBreakBefore w:val="0"/>
              <w:widowControl w:val="0"/>
              <w:wordWrap/>
              <w:topLinePunct w:val="0"/>
              <w:bidi w:val="0"/>
              <w:adjustRightInd w:val="0"/>
              <w:snapToGrid w:val="0"/>
              <w:spacing w:line="360" w:lineRule="auto"/>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3.2汽车运输噪声</w:t>
            </w:r>
          </w:p>
          <w:p w14:paraId="0F72B038">
            <w:pPr>
              <w:keepNext w:val="0"/>
              <w:keepLines w:val="0"/>
              <w:pageBreakBefore w:val="0"/>
              <w:widowControl w:val="0"/>
              <w:wordWrap/>
              <w:topLinePunct w:val="0"/>
              <w:bidi w:val="0"/>
              <w:adjustRightInd w:val="0"/>
              <w:snapToGrid w:val="0"/>
              <w:spacing w:line="360" w:lineRule="auto"/>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施工过程中使用的大量设备和材料等主要采用汽车运输</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运输车辆产生的机动车噪声也是施工中不可忽视的噪声源强之一。机动车噪声源强的大小受车辆、道路、环境诸多因素的影响</w:t>
            </w:r>
            <w:r>
              <w:rPr>
                <w:rFonts w:hint="default" w:ascii="Times New Roman" w:hAnsi="Times New Roman" w:cs="Times New Roman"/>
                <w:color w:val="auto"/>
                <w:sz w:val="24"/>
                <w:szCs w:val="24"/>
                <w:highlight w:val="none"/>
                <w:lang w:eastAsia="zh-CN"/>
              </w:rPr>
              <w:t>，源强为</w:t>
            </w:r>
            <w:r>
              <w:rPr>
                <w:rFonts w:hint="default" w:ascii="Times New Roman" w:hAnsi="Times New Roman" w:cs="Times New Roman"/>
                <w:color w:val="auto"/>
                <w:sz w:val="24"/>
                <w:szCs w:val="24"/>
                <w:highlight w:val="none"/>
                <w:lang w:val="en-US" w:eastAsia="zh-CN"/>
              </w:rPr>
              <w:t>80</w:t>
            </w:r>
            <w:r>
              <w:rPr>
                <w:rFonts w:hint="default" w:ascii="Times New Roman" w:hAnsi="Times New Roman" w:cs="Times New Roman"/>
                <w:color w:val="auto"/>
                <w:sz w:val="24"/>
                <w:szCs w:val="24"/>
                <w:highlight w:val="none"/>
              </w:rPr>
              <w:t>dB(A)左右</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考虑工程施工期道路运输车辆的不连续性，因此其造成的声环境影响是有限的</w:t>
            </w:r>
            <w:r>
              <w:rPr>
                <w:rFonts w:hint="default" w:ascii="Times New Roman" w:hAnsi="Times New Roman" w:cs="Times New Roman"/>
                <w:color w:val="auto"/>
                <w:sz w:val="24"/>
                <w:szCs w:val="24"/>
                <w:highlight w:val="none"/>
                <w:lang w:eastAsia="zh-CN"/>
              </w:rPr>
              <w:t>。</w:t>
            </w:r>
          </w:p>
          <w:p w14:paraId="0A77035C">
            <w:pPr>
              <w:keepNext w:val="0"/>
              <w:keepLines w:val="0"/>
              <w:pageBreakBefore w:val="0"/>
              <w:widowControl w:val="0"/>
              <w:wordWrap/>
              <w:topLinePunct w:val="0"/>
              <w:bidi w:val="0"/>
              <w:adjustRightInd w:val="0"/>
              <w:snapToGrid w:val="0"/>
              <w:spacing w:line="360" w:lineRule="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4.</w:t>
            </w:r>
            <w:r>
              <w:rPr>
                <w:rFonts w:hint="default" w:ascii="Times New Roman" w:hAnsi="Times New Roman" w:cs="Times New Roman"/>
                <w:b/>
                <w:bCs/>
                <w:color w:val="auto"/>
                <w:sz w:val="24"/>
                <w:szCs w:val="24"/>
                <w:highlight w:val="none"/>
              </w:rPr>
              <w:t>施工期固体废物影响分析</w:t>
            </w:r>
          </w:p>
          <w:p w14:paraId="3EE111D7">
            <w:pPr>
              <w:keepNext w:val="0"/>
              <w:keepLines w:val="0"/>
              <w:pageBreakBefore w:val="0"/>
              <w:widowControl w:val="0"/>
              <w:wordWrap/>
              <w:topLinePunct w:val="0"/>
              <w:bidi w:val="0"/>
              <w:adjustRightInd w:val="0"/>
              <w:snapToGrid w:val="0"/>
              <w:spacing w:line="360" w:lineRule="auto"/>
              <w:ind w:firstLine="456" w:firstLineChars="200"/>
              <w:rPr>
                <w:rFonts w:hint="default" w:ascii="Times New Roman" w:hAnsi="Times New Roman" w:cs="Times New Roman"/>
                <w:b w:val="0"/>
                <w:bCs/>
                <w:color w:val="auto"/>
                <w:spacing w:val="-6"/>
                <w:sz w:val="24"/>
                <w:szCs w:val="24"/>
                <w:highlight w:val="none"/>
              </w:rPr>
            </w:pPr>
            <w:r>
              <w:rPr>
                <w:rFonts w:hint="default" w:ascii="Times New Roman" w:hAnsi="Times New Roman" w:cs="Times New Roman"/>
                <w:color w:val="auto"/>
                <w:spacing w:val="-6"/>
                <w:sz w:val="24"/>
                <w:szCs w:val="24"/>
                <w:highlight w:val="none"/>
              </w:rPr>
              <w:t>施工过程中将进行土石方挖填，</w:t>
            </w:r>
            <w:r>
              <w:rPr>
                <w:rFonts w:hint="default" w:ascii="Times New Roman" w:hAnsi="Times New Roman" w:cs="Times New Roman"/>
                <w:color w:val="auto"/>
                <w:spacing w:val="-6"/>
                <w:sz w:val="24"/>
                <w:szCs w:val="24"/>
                <w:highlight w:val="none"/>
                <w:lang w:eastAsia="zh-CN"/>
              </w:rPr>
              <w:t>根据土石方平衡表，</w:t>
            </w:r>
            <w:r>
              <w:rPr>
                <w:rFonts w:hint="default" w:ascii="Times New Roman" w:hAnsi="Times New Roman" w:cs="Times New Roman"/>
                <w:color w:val="auto"/>
                <w:spacing w:val="-6"/>
                <w:sz w:val="24"/>
                <w:szCs w:val="24"/>
                <w:highlight w:val="none"/>
                <w:lang w:val="en-US" w:eastAsia="zh-CN"/>
              </w:rPr>
              <w:t>本项目挖方量</w:t>
            </w:r>
            <w:r>
              <w:rPr>
                <w:rFonts w:hint="eastAsia" w:ascii="Times New Roman" w:hAnsi="Times New Roman" w:cs="Times New Roman"/>
                <w:color w:val="auto"/>
                <w:spacing w:val="-6"/>
                <w:sz w:val="24"/>
                <w:szCs w:val="24"/>
                <w:highlight w:val="none"/>
                <w:lang w:val="en-US" w:eastAsia="zh-CN"/>
              </w:rPr>
              <w:t>45700</w:t>
            </w:r>
            <w:r>
              <w:rPr>
                <w:rFonts w:hint="default" w:ascii="Times New Roman" w:hAnsi="Times New Roman" w:cs="Times New Roman"/>
                <w:color w:val="auto"/>
                <w:spacing w:val="-6"/>
                <w:sz w:val="24"/>
                <w:szCs w:val="24"/>
                <w:highlight w:val="none"/>
                <w:lang w:val="en-US" w:eastAsia="zh-CN"/>
              </w:rPr>
              <w:t>m</w:t>
            </w:r>
            <w:r>
              <w:rPr>
                <w:rFonts w:hint="default" w:ascii="Times New Roman" w:hAnsi="Times New Roman" w:cs="Times New Roman"/>
                <w:color w:val="auto"/>
                <w:spacing w:val="-6"/>
                <w:sz w:val="24"/>
                <w:szCs w:val="24"/>
                <w:highlight w:val="none"/>
                <w:vertAlign w:val="superscript"/>
                <w:lang w:val="en-US" w:eastAsia="zh-CN"/>
              </w:rPr>
              <w:t>3</w:t>
            </w:r>
            <w:r>
              <w:rPr>
                <w:rFonts w:hint="default" w:ascii="Times New Roman" w:hAnsi="Times New Roman" w:cs="Times New Roman"/>
                <w:color w:val="auto"/>
                <w:spacing w:val="-6"/>
                <w:sz w:val="24"/>
                <w:szCs w:val="24"/>
                <w:highlight w:val="none"/>
              </w:rPr>
              <w:t>，</w:t>
            </w:r>
            <w:r>
              <w:rPr>
                <w:rFonts w:hint="default" w:ascii="Times New Roman" w:hAnsi="Times New Roman" w:cs="Times New Roman"/>
                <w:color w:val="auto"/>
                <w:spacing w:val="-6"/>
                <w:sz w:val="24"/>
                <w:szCs w:val="24"/>
                <w:highlight w:val="none"/>
                <w:lang w:val="en-US" w:eastAsia="zh-CN"/>
              </w:rPr>
              <w:t>填方量为</w:t>
            </w:r>
            <w:r>
              <w:rPr>
                <w:rFonts w:hint="eastAsia" w:ascii="Times New Roman" w:hAnsi="Times New Roman" w:cs="Times New Roman"/>
                <w:color w:val="auto"/>
                <w:spacing w:val="-6"/>
                <w:sz w:val="24"/>
                <w:szCs w:val="24"/>
                <w:highlight w:val="none"/>
                <w:lang w:val="en-US" w:eastAsia="zh-CN"/>
              </w:rPr>
              <w:t>45550</w:t>
            </w:r>
            <w:r>
              <w:rPr>
                <w:rFonts w:hint="default" w:ascii="Times New Roman" w:hAnsi="Times New Roman" w:cs="Times New Roman"/>
                <w:color w:val="auto"/>
                <w:spacing w:val="-6"/>
                <w:sz w:val="24"/>
                <w:szCs w:val="24"/>
                <w:highlight w:val="none"/>
                <w:lang w:val="en-US" w:eastAsia="zh-CN"/>
              </w:rPr>
              <w:t>m</w:t>
            </w:r>
            <w:r>
              <w:rPr>
                <w:rFonts w:hint="default" w:ascii="Times New Roman" w:hAnsi="Times New Roman" w:cs="Times New Roman"/>
                <w:color w:val="auto"/>
                <w:spacing w:val="-6"/>
                <w:sz w:val="24"/>
                <w:szCs w:val="24"/>
                <w:highlight w:val="none"/>
                <w:vertAlign w:val="superscript"/>
                <w:lang w:val="en-US" w:eastAsia="zh-CN"/>
              </w:rPr>
              <w:t>3</w:t>
            </w:r>
            <w:r>
              <w:rPr>
                <w:rFonts w:hint="default" w:ascii="Times New Roman" w:hAnsi="Times New Roman" w:cs="Times New Roman"/>
                <w:color w:val="auto"/>
                <w:spacing w:val="-6"/>
                <w:sz w:val="24"/>
                <w:szCs w:val="24"/>
                <w:highlight w:val="none"/>
              </w:rPr>
              <w:t>，</w:t>
            </w:r>
            <w:r>
              <w:rPr>
                <w:rFonts w:hint="default" w:ascii="Times New Roman" w:hAnsi="Times New Roman" w:cs="Times New Roman"/>
                <w:b w:val="0"/>
                <w:bCs/>
                <w:color w:val="auto"/>
                <w:spacing w:val="-6"/>
                <w:sz w:val="24"/>
                <w:szCs w:val="24"/>
                <w:highlight w:val="none"/>
                <w:lang w:eastAsia="zh-CN"/>
              </w:rPr>
              <w:t>挖方均用于填方，</w:t>
            </w:r>
            <w:r>
              <w:rPr>
                <w:rFonts w:hint="eastAsia" w:cs="Times New Roman"/>
                <w:b w:val="0"/>
                <w:bCs/>
                <w:color w:val="auto"/>
                <w:spacing w:val="-6"/>
                <w:sz w:val="24"/>
                <w:szCs w:val="24"/>
                <w:highlight w:val="none"/>
                <w:lang w:val="en-US" w:eastAsia="zh-CN"/>
              </w:rPr>
              <w:t>多余土方就地平衡</w:t>
            </w:r>
            <w:r>
              <w:rPr>
                <w:rFonts w:hint="default" w:ascii="Times New Roman" w:hAnsi="Times New Roman" w:cs="Times New Roman"/>
                <w:b w:val="0"/>
                <w:bCs/>
                <w:color w:val="auto"/>
                <w:spacing w:val="-6"/>
                <w:sz w:val="24"/>
                <w:szCs w:val="24"/>
                <w:highlight w:val="none"/>
                <w:lang w:eastAsia="zh-CN"/>
              </w:rPr>
              <w:t>，因此</w:t>
            </w:r>
            <w:r>
              <w:rPr>
                <w:rFonts w:hint="default" w:ascii="Times New Roman" w:hAnsi="Times New Roman" w:cs="Times New Roman"/>
                <w:b w:val="0"/>
                <w:bCs/>
                <w:color w:val="auto"/>
                <w:spacing w:val="-6"/>
                <w:sz w:val="24"/>
                <w:szCs w:val="24"/>
                <w:highlight w:val="none"/>
              </w:rPr>
              <w:t>施工期固体废弃物主要为施工人员的生活垃圾以及建筑垃圾。</w:t>
            </w:r>
          </w:p>
          <w:p w14:paraId="7029BAC0">
            <w:pPr>
              <w:keepNext w:val="0"/>
              <w:keepLines w:val="0"/>
              <w:pageBreakBefore w:val="0"/>
              <w:widowControl w:val="0"/>
              <w:wordWrap/>
              <w:topLinePunct w:val="0"/>
              <w:bidi w:val="0"/>
              <w:adjustRightInd w:val="0"/>
              <w:snapToGrid w:val="0"/>
              <w:spacing w:line="360" w:lineRule="auto"/>
              <w:ind w:firstLine="480" w:firstLineChars="200"/>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lang w:eastAsia="zh-CN"/>
              </w:rPr>
              <w:t>本项目</w:t>
            </w:r>
            <w:r>
              <w:rPr>
                <w:rFonts w:hint="default" w:ascii="Times New Roman" w:hAnsi="Times New Roman" w:eastAsia="宋体" w:cs="Times New Roman"/>
                <w:b w:val="0"/>
                <w:bCs/>
                <w:color w:val="auto"/>
                <w:sz w:val="24"/>
                <w:szCs w:val="24"/>
                <w:highlight w:val="none"/>
              </w:rPr>
              <w:t>平均每天施工人数</w:t>
            </w:r>
            <w:r>
              <w:rPr>
                <w:rFonts w:hint="eastAsia" w:ascii="Times New Roman" w:hAnsi="Times New Roman" w:eastAsia="宋体" w:cs="Times New Roman"/>
                <w:b w:val="0"/>
                <w:bCs/>
                <w:color w:val="auto"/>
                <w:sz w:val="24"/>
                <w:szCs w:val="24"/>
                <w:highlight w:val="none"/>
                <w:lang w:val="en-US" w:eastAsia="zh-CN"/>
              </w:rPr>
              <w:t>100</w:t>
            </w:r>
            <w:r>
              <w:rPr>
                <w:rFonts w:hint="default" w:ascii="Times New Roman" w:hAnsi="Times New Roman" w:eastAsia="宋体" w:cs="Times New Roman"/>
                <w:b w:val="0"/>
                <w:bCs/>
                <w:color w:val="auto"/>
                <w:sz w:val="24"/>
                <w:szCs w:val="24"/>
                <w:highlight w:val="none"/>
              </w:rPr>
              <w:t>人，生活垃圾按照每人每天产生量</w:t>
            </w:r>
            <w:r>
              <w:rPr>
                <w:rFonts w:hint="eastAsia" w:ascii="Times New Roman" w:hAnsi="Times New Roman" w:eastAsia="宋体" w:cs="Times New Roman"/>
                <w:b w:val="0"/>
                <w:bCs/>
                <w:color w:val="auto"/>
                <w:sz w:val="24"/>
                <w:szCs w:val="24"/>
                <w:highlight w:val="none"/>
                <w:lang w:val="en-US" w:eastAsia="zh-CN"/>
              </w:rPr>
              <w:t>1</w:t>
            </w:r>
            <w:r>
              <w:rPr>
                <w:rFonts w:hint="default" w:ascii="Times New Roman" w:hAnsi="Times New Roman" w:eastAsia="宋体" w:cs="Times New Roman"/>
                <w:b w:val="0"/>
                <w:bCs/>
                <w:color w:val="auto"/>
                <w:sz w:val="24"/>
                <w:szCs w:val="24"/>
                <w:highlight w:val="none"/>
              </w:rPr>
              <w:t>kg进行估算，</w:t>
            </w:r>
            <w:r>
              <w:rPr>
                <w:rFonts w:hint="default" w:ascii="Times New Roman" w:hAnsi="Times New Roman" w:eastAsia="宋体" w:cs="Times New Roman"/>
                <w:b w:val="0"/>
                <w:bCs/>
                <w:color w:val="auto"/>
                <w:sz w:val="24"/>
                <w:szCs w:val="24"/>
                <w:highlight w:val="none"/>
                <w:lang w:eastAsia="zh-CN"/>
              </w:rPr>
              <w:t>则</w:t>
            </w:r>
            <w:r>
              <w:rPr>
                <w:rFonts w:hint="default" w:ascii="Times New Roman" w:hAnsi="Times New Roman" w:eastAsia="宋体" w:cs="Times New Roman"/>
                <w:b w:val="0"/>
                <w:bCs/>
                <w:color w:val="auto"/>
                <w:sz w:val="24"/>
                <w:szCs w:val="24"/>
                <w:highlight w:val="none"/>
              </w:rPr>
              <w:t>生活垃圾产生量合计</w:t>
            </w:r>
            <w:r>
              <w:rPr>
                <w:rFonts w:hint="eastAsia" w:ascii="Times New Roman" w:hAnsi="Times New Roman" w:eastAsia="宋体" w:cs="Times New Roman"/>
                <w:b w:val="0"/>
                <w:bCs/>
                <w:color w:val="auto"/>
                <w:sz w:val="24"/>
                <w:szCs w:val="24"/>
                <w:highlight w:val="none"/>
                <w:lang w:val="en-US" w:eastAsia="zh-CN"/>
              </w:rPr>
              <w:t>18</w:t>
            </w:r>
            <w:r>
              <w:rPr>
                <w:rFonts w:hint="default" w:ascii="Times New Roman" w:hAnsi="Times New Roman" w:eastAsia="宋体" w:cs="Times New Roman"/>
                <w:b w:val="0"/>
                <w:bCs/>
                <w:color w:val="auto"/>
                <w:sz w:val="24"/>
                <w:szCs w:val="24"/>
                <w:highlight w:val="none"/>
                <w:lang w:val="en-US" w:eastAsia="zh-CN"/>
              </w:rPr>
              <w:t>t</w:t>
            </w:r>
            <w:r>
              <w:rPr>
                <w:rFonts w:hint="default" w:ascii="Times New Roman" w:hAnsi="Times New Roman" w:eastAsia="宋体" w:cs="Times New Roman"/>
                <w:b w:val="0"/>
                <w:bCs/>
                <w:color w:val="auto"/>
                <w:sz w:val="24"/>
                <w:szCs w:val="24"/>
                <w:highlight w:val="none"/>
              </w:rPr>
              <w:t>。</w:t>
            </w:r>
            <w:r>
              <w:rPr>
                <w:rFonts w:hint="default" w:ascii="Times New Roman" w:hAnsi="Times New Roman" w:eastAsia="宋体" w:cs="Times New Roman"/>
                <w:b w:val="0"/>
                <w:bCs/>
                <w:color w:val="auto"/>
                <w:sz w:val="24"/>
                <w:szCs w:val="24"/>
                <w:highlight w:val="none"/>
                <w:lang w:val="en-US" w:eastAsia="zh-CN"/>
              </w:rPr>
              <w:t>生活垃圾集中收集后，定期自行清运至</w:t>
            </w:r>
            <w:r>
              <w:rPr>
                <w:rFonts w:hint="eastAsia" w:ascii="Times New Roman" w:hAnsi="Times New Roman" w:eastAsia="宋体" w:cs="Times New Roman"/>
                <w:b w:val="0"/>
                <w:bCs/>
                <w:color w:val="auto"/>
                <w:sz w:val="24"/>
                <w:szCs w:val="24"/>
                <w:highlight w:val="none"/>
                <w:lang w:val="en-US" w:eastAsia="zh-CN"/>
              </w:rPr>
              <w:t>附近</w:t>
            </w:r>
            <w:r>
              <w:rPr>
                <w:rFonts w:hint="default" w:ascii="Times New Roman" w:hAnsi="Times New Roman" w:eastAsia="宋体" w:cs="Times New Roman"/>
                <w:b w:val="0"/>
                <w:bCs/>
                <w:color w:val="auto"/>
                <w:sz w:val="24"/>
                <w:szCs w:val="24"/>
                <w:highlight w:val="none"/>
                <w:lang w:val="en-US" w:eastAsia="zh-CN"/>
              </w:rPr>
              <w:t>垃圾转运站。</w:t>
            </w:r>
          </w:p>
          <w:p w14:paraId="1B3119FB">
            <w:pPr>
              <w:keepNext w:val="0"/>
              <w:keepLines w:val="0"/>
              <w:pageBreakBefore w:val="0"/>
              <w:widowControl w:val="0"/>
              <w:wordWrap/>
              <w:topLinePunct w:val="0"/>
              <w:bidi w:val="0"/>
              <w:adjustRightInd w:val="0"/>
              <w:snapToGrid w:val="0"/>
              <w:spacing w:line="360" w:lineRule="auto"/>
              <w:ind w:firstLine="480" w:firstLineChars="200"/>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施工过程中将产生少量的</w:t>
            </w:r>
            <w:r>
              <w:rPr>
                <w:rFonts w:hint="default" w:ascii="Times New Roman" w:hAnsi="Times New Roman" w:eastAsia="宋体" w:cs="Times New Roman"/>
                <w:b w:val="0"/>
                <w:bCs/>
                <w:color w:val="auto"/>
                <w:sz w:val="24"/>
                <w:szCs w:val="24"/>
                <w:highlight w:val="none"/>
                <w:lang w:eastAsia="zh-CN"/>
              </w:rPr>
              <w:t>建筑垃圾</w:t>
            </w:r>
            <w:r>
              <w:rPr>
                <w:rFonts w:hint="default" w:ascii="Times New Roman" w:hAnsi="Times New Roman" w:eastAsia="宋体" w:cs="Times New Roman"/>
                <w:b w:val="0"/>
                <w:bCs/>
                <w:color w:val="auto"/>
                <w:sz w:val="24"/>
                <w:szCs w:val="24"/>
                <w:highlight w:val="none"/>
              </w:rPr>
              <w:t>，主要为废弃的建筑材料包装、施工辅助材料及少量损坏的建筑材料、撒漏建筑材料等，</w:t>
            </w:r>
            <w:r>
              <w:rPr>
                <w:rFonts w:hint="default" w:ascii="Times New Roman" w:hAnsi="Times New Roman" w:eastAsia="宋体" w:cs="Times New Roman"/>
                <w:b w:val="0"/>
                <w:bCs/>
                <w:color w:val="auto"/>
                <w:sz w:val="24"/>
                <w:szCs w:val="24"/>
                <w:highlight w:val="none"/>
                <w:lang w:eastAsia="zh-CN"/>
              </w:rPr>
              <w:t>施工期间</w:t>
            </w:r>
            <w:r>
              <w:rPr>
                <w:rFonts w:hint="default" w:ascii="Times New Roman" w:hAnsi="Times New Roman" w:eastAsia="宋体" w:cs="Times New Roman"/>
                <w:b w:val="0"/>
                <w:bCs/>
                <w:color w:val="auto"/>
                <w:sz w:val="24"/>
                <w:szCs w:val="24"/>
                <w:highlight w:val="none"/>
                <w:lang w:val="en-US" w:eastAsia="zh-CN"/>
              </w:rPr>
              <w:t>建筑垃圾集中收集后拉运至当地建筑垃圾填埋场填埋。</w:t>
            </w:r>
          </w:p>
          <w:p w14:paraId="0953116D">
            <w:pPr>
              <w:keepNext w:val="0"/>
              <w:keepLines w:val="0"/>
              <w:pageBreakBefore w:val="0"/>
              <w:widowControl w:val="0"/>
              <w:wordWrap/>
              <w:topLinePunct w:val="0"/>
              <w:bidi w:val="0"/>
              <w:adjustRightInd w:val="0"/>
              <w:snapToGrid w:val="0"/>
              <w:spacing w:line="360" w:lineRule="auto"/>
              <w:ind w:firstLine="480" w:firstLineChars="200"/>
              <w:rPr>
                <w:rFonts w:hint="default"/>
              </w:rPr>
            </w:pPr>
            <w:r>
              <w:rPr>
                <w:rFonts w:hint="default" w:ascii="Times New Roman" w:hAnsi="Times New Roman" w:eastAsia="宋体" w:cs="Times New Roman"/>
                <w:b w:val="0"/>
                <w:bCs/>
                <w:color w:val="auto"/>
                <w:sz w:val="24"/>
                <w:szCs w:val="24"/>
                <w:highlight w:val="none"/>
              </w:rPr>
              <w:t>综上所述，施工期产生的固体废物均得到妥善处置，对周边环境影响较小。</w:t>
            </w:r>
          </w:p>
          <w:p w14:paraId="23E303F5">
            <w:pPr>
              <w:keepNext w:val="0"/>
              <w:keepLines w:val="0"/>
              <w:pageBreakBefore w:val="0"/>
              <w:widowControl w:val="0"/>
              <w:wordWrap/>
              <w:topLinePunct w:val="0"/>
              <w:bidi w:val="0"/>
              <w:adjustRightInd w:val="0"/>
              <w:snapToGrid w:val="0"/>
              <w:spacing w:line="360" w:lineRule="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5.施工期生态环境影响分析</w:t>
            </w:r>
          </w:p>
          <w:p w14:paraId="0D7F2D2C">
            <w:pPr>
              <w:keepNext w:val="0"/>
              <w:keepLines w:val="0"/>
              <w:pageBreakBefore w:val="0"/>
              <w:widowControl w:val="0"/>
              <w:tabs>
                <w:tab w:val="left" w:pos="6480"/>
              </w:tabs>
              <w:wordWrap/>
              <w:topLinePunct w:val="0"/>
              <w:bidi w:val="0"/>
              <w:spacing w:line="360" w:lineRule="auto"/>
              <w:ind w:firstLine="480" w:firstLineChars="200"/>
              <w:rPr>
                <w:rFonts w:hint="default"/>
                <w:lang w:val="en-US" w:eastAsia="zh-CN"/>
              </w:rPr>
            </w:pPr>
            <w:r>
              <w:rPr>
                <w:rFonts w:hint="default" w:ascii="Times New Roman" w:hAnsi="Times New Roman" w:cs="Times New Roman"/>
                <w:color w:val="auto"/>
                <w:sz w:val="24"/>
                <w:szCs w:val="24"/>
                <w:highlight w:val="none"/>
              </w:rPr>
              <w:t>本项目建设对区域生态环境</w:t>
            </w:r>
            <w:r>
              <w:rPr>
                <w:rFonts w:hint="eastAsia" w:cs="Times New Roman"/>
                <w:color w:val="auto"/>
                <w:sz w:val="24"/>
                <w:szCs w:val="24"/>
                <w:highlight w:val="none"/>
                <w:lang w:val="en-US" w:eastAsia="zh-CN"/>
              </w:rPr>
              <w:t>的</w:t>
            </w:r>
            <w:r>
              <w:rPr>
                <w:rFonts w:hint="default" w:ascii="Times New Roman" w:hAnsi="Times New Roman" w:cs="Times New Roman"/>
                <w:color w:val="auto"/>
                <w:sz w:val="24"/>
                <w:szCs w:val="24"/>
                <w:highlight w:val="none"/>
              </w:rPr>
              <w:t>影响主要表现在</w:t>
            </w:r>
            <w:r>
              <w:rPr>
                <w:rFonts w:hint="default" w:ascii="Times New Roman" w:hAnsi="Times New Roman" w:cs="Times New Roman"/>
                <w:color w:val="auto"/>
                <w:sz w:val="24"/>
                <w:szCs w:val="24"/>
                <w:highlight w:val="none"/>
                <w:lang w:val="en-US" w:eastAsia="zh-CN"/>
              </w:rPr>
              <w:t>占地及施工对地表植被的破坏、对野生动物的影响、施工可能引发的水土流失影响等</w:t>
            </w:r>
            <w:r>
              <w:rPr>
                <w:rFonts w:hint="default" w:ascii="Times New Roman" w:hAnsi="Times New Roman" w:cs="Times New Roman"/>
                <w:color w:val="auto"/>
                <w:sz w:val="24"/>
                <w:szCs w:val="24"/>
                <w:highlight w:val="none"/>
              </w:rPr>
              <w:t>。</w:t>
            </w:r>
          </w:p>
          <w:p w14:paraId="41E89B9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5.1施工期对植被的影响分析</w:t>
            </w:r>
          </w:p>
          <w:p w14:paraId="33517914">
            <w:pPr>
              <w:keepNext w:val="0"/>
              <w:keepLines w:val="0"/>
              <w:pageBreakBefore w:val="0"/>
              <w:widowControl w:val="0"/>
              <w:tabs>
                <w:tab w:val="left" w:pos="6480"/>
              </w:tabs>
              <w:wordWrap/>
              <w:topLinePunct w:val="0"/>
              <w:bidi w:val="0"/>
              <w:spacing w:line="360" w:lineRule="auto"/>
              <w:ind w:firstLine="480" w:firstLineChars="200"/>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rPr>
              <w:t>本项目</w:t>
            </w:r>
            <w:r>
              <w:rPr>
                <w:rFonts w:hint="default" w:ascii="Times New Roman" w:hAnsi="Times New Roman" w:eastAsia="宋体" w:cs="Times New Roman"/>
                <w:b w:val="0"/>
                <w:bCs/>
                <w:color w:val="auto"/>
                <w:sz w:val="24"/>
                <w:szCs w:val="24"/>
                <w:highlight w:val="none"/>
                <w:lang w:eastAsia="zh-CN"/>
              </w:rPr>
              <w:t>施工对植被的破坏主要为施工扰动区域造成</w:t>
            </w:r>
            <w:r>
              <w:rPr>
                <w:rFonts w:hint="default" w:ascii="Times New Roman" w:hAnsi="Times New Roman" w:eastAsia="宋体" w:cs="Times New Roman"/>
                <w:b w:val="0"/>
                <w:bCs/>
                <w:color w:val="auto"/>
                <w:sz w:val="24"/>
                <w:szCs w:val="24"/>
                <w:highlight w:val="none"/>
              </w:rPr>
              <w:t>占地范围内的植被</w:t>
            </w:r>
            <w:r>
              <w:rPr>
                <w:rFonts w:hint="default" w:ascii="Times New Roman" w:hAnsi="Times New Roman" w:eastAsia="宋体" w:cs="Times New Roman"/>
                <w:b w:val="0"/>
                <w:bCs/>
                <w:color w:val="auto"/>
                <w:sz w:val="24"/>
                <w:szCs w:val="24"/>
                <w:highlight w:val="none"/>
                <w:lang w:eastAsia="zh-CN"/>
              </w:rPr>
              <w:t>破坏</w:t>
            </w:r>
            <w:r>
              <w:rPr>
                <w:rFonts w:hint="default" w:ascii="Times New Roman" w:hAnsi="Times New Roman" w:eastAsia="宋体" w:cs="Times New Roman"/>
                <w:b w:val="0"/>
                <w:bCs/>
                <w:color w:val="auto"/>
                <w:sz w:val="24"/>
                <w:szCs w:val="24"/>
                <w:highlight w:val="none"/>
              </w:rPr>
              <w:t>，减少植被的覆盖面积，引起植被生物量、净生产量损失</w:t>
            </w:r>
            <w:r>
              <w:rPr>
                <w:rFonts w:hint="default" w:ascii="Times New Roman" w:hAnsi="Times New Roman" w:eastAsia="宋体" w:cs="Times New Roman"/>
                <w:b w:val="0"/>
                <w:bCs/>
                <w:color w:val="auto"/>
                <w:sz w:val="24"/>
                <w:szCs w:val="24"/>
                <w:highlight w:val="none"/>
                <w:lang w:eastAsia="zh-CN"/>
              </w:rPr>
              <w:t>。本项目</w:t>
            </w:r>
            <w:r>
              <w:rPr>
                <w:rFonts w:hint="default" w:ascii="Times New Roman" w:hAnsi="Times New Roman" w:cs="Times New Roman"/>
                <w:color w:val="auto"/>
                <w:sz w:val="24"/>
                <w:szCs w:val="24"/>
                <w:highlight w:val="none"/>
                <w:lang w:val="en-US" w:eastAsia="zh-CN"/>
              </w:rPr>
              <w:t>总</w:t>
            </w:r>
            <w:r>
              <w:rPr>
                <w:rFonts w:hint="eastAsia" w:eastAsia="宋体" w:cs="Times New Roman"/>
                <w:color w:val="auto"/>
                <w:sz w:val="24"/>
                <w:szCs w:val="24"/>
                <w:highlight w:val="none"/>
                <w:lang w:val="en-US" w:eastAsia="zh-CN"/>
              </w:rPr>
              <w:t>占地面积为92434</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eastAsia" w:eastAsia="宋体" w:cs="Times New Roman"/>
                <w:color w:val="auto"/>
                <w:sz w:val="24"/>
                <w:szCs w:val="24"/>
                <w:highlight w:val="none"/>
                <w:lang w:val="en-US" w:eastAsia="zh-CN"/>
              </w:rPr>
              <w:t>，其中永久占地面积92234</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eastAsia" w:eastAsia="宋体" w:cs="Times New Roman"/>
                <w:color w:val="auto"/>
                <w:sz w:val="24"/>
                <w:szCs w:val="24"/>
                <w:highlight w:val="none"/>
                <w:lang w:val="en-US" w:eastAsia="zh-CN"/>
              </w:rPr>
              <w:t>，临时占地面积为200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b w:val="0"/>
                <w:bCs/>
                <w:color w:val="auto"/>
                <w:sz w:val="24"/>
                <w:szCs w:val="24"/>
                <w:highlight w:val="none"/>
                <w:lang w:eastAsia="zh-CN"/>
              </w:rPr>
              <w:t>，</w:t>
            </w:r>
            <w:r>
              <w:rPr>
                <w:rFonts w:hint="default" w:ascii="Times New Roman" w:hAnsi="Times New Roman" w:cs="Times New Roman"/>
                <w:b w:val="0"/>
                <w:bCs/>
                <w:color w:val="auto"/>
                <w:sz w:val="24"/>
                <w:szCs w:val="24"/>
                <w:highlight w:val="none"/>
              </w:rPr>
              <w:t>单位面积的生物量</w:t>
            </w:r>
            <w:r>
              <w:rPr>
                <w:rFonts w:hint="default" w:ascii="Times New Roman" w:hAnsi="Times New Roman" w:cs="Times New Roman"/>
                <w:b w:val="0"/>
                <w:bCs/>
                <w:color w:val="auto"/>
                <w:sz w:val="24"/>
                <w:szCs w:val="24"/>
                <w:highlight w:val="none"/>
                <w:lang w:eastAsia="zh-CN"/>
              </w:rPr>
              <w:t>以</w:t>
            </w:r>
            <w:r>
              <w:rPr>
                <w:rFonts w:hint="default" w:ascii="Times New Roman" w:hAnsi="Times New Roman" w:cs="Times New Roman"/>
                <w:b w:val="0"/>
                <w:bCs/>
                <w:color w:val="auto"/>
                <w:sz w:val="24"/>
                <w:szCs w:val="24"/>
                <w:highlight w:val="none"/>
                <w:lang w:val="en-US" w:eastAsia="zh-CN"/>
              </w:rPr>
              <w:t>200</w:t>
            </w:r>
            <w:r>
              <w:rPr>
                <w:rFonts w:hint="default" w:ascii="Times New Roman" w:hAnsi="Times New Roman" w:cs="Times New Roman"/>
                <w:b w:val="0"/>
                <w:bCs/>
                <w:color w:val="auto"/>
                <w:sz w:val="24"/>
                <w:szCs w:val="24"/>
                <w:highlight w:val="none"/>
              </w:rPr>
              <w:t>kg/</w:t>
            </w:r>
            <w:r>
              <w:rPr>
                <w:rFonts w:hint="default" w:ascii="Times New Roman" w:hAnsi="Times New Roman" w:cs="Times New Roman"/>
                <w:b w:val="0"/>
                <w:bCs/>
                <w:color w:val="auto"/>
                <w:sz w:val="24"/>
                <w:szCs w:val="24"/>
                <w:highlight w:val="none"/>
                <w:lang w:val="en-US" w:eastAsia="zh-CN"/>
              </w:rPr>
              <w:t>ha</w:t>
            </w:r>
            <w:r>
              <w:rPr>
                <w:rFonts w:hint="default" w:ascii="Times New Roman" w:hAnsi="Times New Roman" w:cs="Times New Roman"/>
                <w:b w:val="0"/>
                <w:bCs/>
                <w:color w:val="auto"/>
                <w:sz w:val="24"/>
                <w:szCs w:val="24"/>
                <w:highlight w:val="none"/>
              </w:rPr>
              <w:t>计</w:t>
            </w:r>
            <w:r>
              <w:rPr>
                <w:rFonts w:hint="default" w:ascii="Times New Roman" w:hAnsi="Times New Roman" w:cs="Times New Roman"/>
                <w:b w:val="0"/>
                <w:bCs/>
                <w:color w:val="auto"/>
                <w:sz w:val="24"/>
                <w:szCs w:val="24"/>
                <w:highlight w:val="none"/>
                <w:lang w:eastAsia="zh-CN"/>
              </w:rPr>
              <w:t>，</w:t>
            </w:r>
            <w:r>
              <w:rPr>
                <w:rFonts w:hint="default" w:ascii="Times New Roman" w:hAnsi="Times New Roman" w:cs="Times New Roman"/>
                <w:b w:val="0"/>
                <w:bCs/>
                <w:color w:val="auto"/>
                <w:sz w:val="24"/>
                <w:szCs w:val="24"/>
                <w:highlight w:val="none"/>
              </w:rPr>
              <w:t>占地造成的生物损失量约为</w:t>
            </w:r>
            <w:r>
              <w:rPr>
                <w:rFonts w:hint="eastAsia" w:ascii="Times New Roman" w:hAnsi="Times New Roman" w:cs="Times New Roman"/>
                <w:b w:val="0"/>
                <w:bCs/>
                <w:color w:val="auto"/>
                <w:sz w:val="24"/>
                <w:szCs w:val="24"/>
                <w:highlight w:val="none"/>
                <w:lang w:val="en-US" w:eastAsia="zh-CN"/>
              </w:rPr>
              <w:t>1.85t</w:t>
            </w:r>
            <w:r>
              <w:rPr>
                <w:rFonts w:hint="default" w:ascii="Times New Roman" w:hAnsi="Times New Roman" w:cs="Times New Roman"/>
                <w:b w:val="0"/>
                <w:bCs/>
                <w:color w:val="auto"/>
                <w:sz w:val="24"/>
                <w:szCs w:val="24"/>
                <w:highlight w:val="none"/>
                <w:lang w:val="en-US" w:eastAsia="zh-CN"/>
              </w:rPr>
              <w:t>。针对</w:t>
            </w:r>
            <w:r>
              <w:rPr>
                <w:rFonts w:hint="default" w:ascii="Times New Roman" w:hAnsi="Times New Roman" w:eastAsia="宋体" w:cs="Times New Roman"/>
                <w:b w:val="0"/>
                <w:bCs/>
                <w:color w:val="auto"/>
                <w:sz w:val="24"/>
                <w:szCs w:val="24"/>
                <w:highlight w:val="none"/>
                <w:lang w:eastAsia="zh-CN"/>
              </w:rPr>
              <w:t>临时用地破坏的植被，随着施工期</w:t>
            </w:r>
            <w:r>
              <w:rPr>
                <w:rFonts w:hint="default" w:ascii="Times New Roman" w:hAnsi="Times New Roman" w:eastAsia="宋体" w:cs="Times New Roman"/>
                <w:b w:val="0"/>
                <w:bCs/>
                <w:color w:val="auto"/>
                <w:sz w:val="24"/>
                <w:szCs w:val="24"/>
                <w:highlight w:val="none"/>
              </w:rPr>
              <w:t>结束，</w:t>
            </w:r>
            <w:r>
              <w:rPr>
                <w:rFonts w:hint="default" w:ascii="Times New Roman" w:hAnsi="Times New Roman" w:eastAsia="宋体" w:cs="Times New Roman"/>
                <w:b w:val="0"/>
                <w:bCs/>
                <w:color w:val="auto"/>
                <w:sz w:val="24"/>
                <w:szCs w:val="24"/>
                <w:highlight w:val="none"/>
                <w:lang w:eastAsia="zh-CN"/>
              </w:rPr>
              <w:t>采用覆土压实，播撒当地适宜草籽进行生态恢复</w:t>
            </w:r>
            <w:r>
              <w:rPr>
                <w:rFonts w:hint="default" w:ascii="Times New Roman" w:hAnsi="Times New Roman" w:eastAsia="宋体" w:cs="Times New Roman"/>
                <w:b w:val="0"/>
                <w:bCs/>
                <w:color w:val="auto"/>
                <w:sz w:val="24"/>
                <w:szCs w:val="24"/>
                <w:highlight w:val="none"/>
              </w:rPr>
              <w:t>，</w:t>
            </w:r>
            <w:r>
              <w:rPr>
                <w:rFonts w:hint="default" w:ascii="Times New Roman" w:hAnsi="Times New Roman" w:eastAsia="宋体" w:cs="Times New Roman"/>
                <w:b w:val="0"/>
                <w:bCs/>
                <w:color w:val="auto"/>
                <w:sz w:val="24"/>
                <w:szCs w:val="24"/>
                <w:highlight w:val="none"/>
                <w:lang w:eastAsia="zh-CN"/>
              </w:rPr>
              <w:t>施工活动造成的</w:t>
            </w:r>
            <w:r>
              <w:rPr>
                <w:rFonts w:hint="default" w:ascii="Times New Roman" w:hAnsi="Times New Roman" w:eastAsia="宋体" w:cs="Times New Roman"/>
                <w:b w:val="0"/>
                <w:bCs/>
                <w:color w:val="auto"/>
                <w:sz w:val="24"/>
                <w:szCs w:val="24"/>
                <w:highlight w:val="none"/>
              </w:rPr>
              <w:t>植被</w:t>
            </w:r>
            <w:r>
              <w:rPr>
                <w:rFonts w:hint="default" w:ascii="Times New Roman" w:hAnsi="Times New Roman" w:eastAsia="宋体" w:cs="Times New Roman"/>
                <w:b w:val="0"/>
                <w:bCs/>
                <w:color w:val="auto"/>
                <w:sz w:val="24"/>
                <w:szCs w:val="24"/>
                <w:highlight w:val="none"/>
                <w:lang w:eastAsia="zh-CN"/>
              </w:rPr>
              <w:t>破坏</w:t>
            </w:r>
            <w:r>
              <w:rPr>
                <w:rFonts w:hint="default" w:ascii="Times New Roman" w:hAnsi="Times New Roman" w:eastAsia="宋体" w:cs="Times New Roman"/>
                <w:b w:val="0"/>
                <w:bCs/>
                <w:color w:val="auto"/>
                <w:sz w:val="24"/>
                <w:szCs w:val="24"/>
                <w:highlight w:val="none"/>
              </w:rPr>
              <w:t>不会影响到植被群落整体的结构和功能，也不会影响</w:t>
            </w:r>
            <w:r>
              <w:rPr>
                <w:rFonts w:hint="default" w:ascii="Times New Roman" w:hAnsi="Times New Roman" w:eastAsia="宋体" w:cs="Times New Roman"/>
                <w:b w:val="0"/>
                <w:bCs/>
                <w:color w:val="auto"/>
                <w:sz w:val="24"/>
                <w:szCs w:val="24"/>
                <w:highlight w:val="none"/>
                <w:lang w:eastAsia="zh-CN"/>
              </w:rPr>
              <w:t>区域</w:t>
            </w:r>
            <w:r>
              <w:rPr>
                <w:rFonts w:hint="default" w:ascii="Times New Roman" w:hAnsi="Times New Roman" w:eastAsia="宋体" w:cs="Times New Roman"/>
                <w:b w:val="0"/>
                <w:bCs/>
                <w:color w:val="auto"/>
                <w:sz w:val="24"/>
                <w:szCs w:val="24"/>
                <w:highlight w:val="none"/>
              </w:rPr>
              <w:t>生态系统的稳定性，植被连续性、生态系统空间结构完整性及生物多样性不会受到明显破坏，在严格按照环保措施进行施工建设的情况下，不会对当地自然生态产生明显影响。</w:t>
            </w:r>
          </w:p>
          <w:p w14:paraId="3AE5CE5B">
            <w:pPr>
              <w:keepNext w:val="0"/>
              <w:keepLines w:val="0"/>
              <w:pageBreakBefore w:val="0"/>
              <w:widowControl w:val="0"/>
              <w:wordWrap/>
              <w:topLinePunct w:val="0"/>
              <w:bidi w:val="0"/>
              <w:adjustRightInd w:val="0"/>
              <w:snapToGrid w:val="0"/>
              <w:spacing w:line="360" w:lineRule="auto"/>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5.</w:t>
            </w:r>
            <w:r>
              <w:rPr>
                <w:rFonts w:hint="eastAsia" w:cs="Times New Roman"/>
                <w:b/>
                <w:bCs/>
                <w:color w:val="auto"/>
                <w:sz w:val="24"/>
                <w:szCs w:val="24"/>
                <w:highlight w:val="none"/>
                <w:lang w:val="en-US" w:eastAsia="zh-CN"/>
              </w:rPr>
              <w:t>2</w:t>
            </w:r>
            <w:r>
              <w:rPr>
                <w:rFonts w:hint="default" w:ascii="Times New Roman" w:hAnsi="Times New Roman" w:cs="Times New Roman"/>
                <w:b/>
                <w:bCs/>
                <w:color w:val="auto"/>
                <w:sz w:val="24"/>
                <w:szCs w:val="24"/>
                <w:highlight w:val="none"/>
              </w:rPr>
              <w:t>施工期对野生动物的影响分析</w:t>
            </w:r>
          </w:p>
          <w:p w14:paraId="441F2B57">
            <w:pPr>
              <w:keepNext w:val="0"/>
              <w:keepLines w:val="0"/>
              <w:pageBreakBefore w:val="0"/>
              <w:widowControl w:val="0"/>
              <w:wordWrap/>
              <w:topLinePunct w:val="0"/>
              <w:bidi w:val="0"/>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本项目</w:t>
            </w:r>
            <w:r>
              <w:rPr>
                <w:rFonts w:hint="default" w:ascii="Times New Roman" w:hAnsi="Times New Roman" w:cs="Times New Roman"/>
                <w:color w:val="auto"/>
                <w:sz w:val="24"/>
                <w:szCs w:val="24"/>
                <w:highlight w:val="none"/>
              </w:rPr>
              <w:t>所在区域野生动物种类很少，现有的野生动物多为一些常见的啮齿类</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爬行类</w:t>
            </w:r>
            <w:r>
              <w:rPr>
                <w:rFonts w:hint="default" w:ascii="Times New Roman" w:hAnsi="Times New Roman" w:cs="Times New Roman"/>
                <w:color w:val="auto"/>
                <w:sz w:val="24"/>
                <w:szCs w:val="24"/>
                <w:highlight w:val="none"/>
              </w:rPr>
              <w:t>等。施工各种工程机械运行和运输车辆产生的噪声、振动以及人员活动会使项目区野生动物回避</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对在其影响范围内</w:t>
            </w:r>
            <w:r>
              <w:rPr>
                <w:rFonts w:hint="default" w:ascii="Times New Roman" w:hAnsi="Times New Roman" w:cs="Times New Roman"/>
                <w:color w:val="auto"/>
                <w:sz w:val="24"/>
                <w:szCs w:val="24"/>
                <w:highlight w:val="none"/>
                <w:lang w:eastAsia="zh-CN"/>
              </w:rPr>
              <w:t>野生动物</w:t>
            </w:r>
            <w:r>
              <w:rPr>
                <w:rFonts w:hint="default" w:ascii="Times New Roman" w:hAnsi="Times New Roman" w:cs="Times New Roman"/>
                <w:color w:val="auto"/>
                <w:sz w:val="24"/>
                <w:szCs w:val="24"/>
                <w:highlight w:val="none"/>
              </w:rPr>
              <w:t>日常活动造成干扰。夜间施工和工程人员生活照明则可能对一些夜行食肉动物造成影响。此外，由于可能存在部分施工人员缺乏野生动物保护意识</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捕捉、伤害野生动物</w:t>
            </w:r>
            <w:r>
              <w:rPr>
                <w:rFonts w:hint="default" w:ascii="Times New Roman" w:hAnsi="Times New Roman" w:cs="Times New Roman"/>
                <w:color w:val="auto"/>
                <w:sz w:val="24"/>
                <w:szCs w:val="24"/>
                <w:highlight w:val="none"/>
                <w:lang w:eastAsia="zh-CN"/>
              </w:rPr>
              <w:t>，应</w:t>
            </w:r>
            <w:r>
              <w:rPr>
                <w:rFonts w:hint="default" w:ascii="Times New Roman" w:hAnsi="Times New Roman" w:cs="Times New Roman"/>
                <w:color w:val="auto"/>
                <w:sz w:val="24"/>
                <w:szCs w:val="24"/>
                <w:highlight w:val="none"/>
              </w:rPr>
              <w:t>加强对施工人员的环保意识教育，严禁捕杀项目所在区域野生动物。</w:t>
            </w:r>
          </w:p>
          <w:p w14:paraId="2D3E7762">
            <w:pPr>
              <w:keepNext w:val="0"/>
              <w:keepLines w:val="0"/>
              <w:pageBreakBefore w:val="0"/>
              <w:widowControl w:val="0"/>
              <w:wordWrap/>
              <w:topLinePunct w:val="0"/>
              <w:bidi w:val="0"/>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由于</w:t>
            </w:r>
            <w:r>
              <w:rPr>
                <w:rFonts w:hint="eastAsia" w:cs="Times New Roman"/>
                <w:color w:val="auto"/>
                <w:sz w:val="24"/>
                <w:szCs w:val="24"/>
                <w:highlight w:val="none"/>
                <w:lang w:eastAsia="zh-CN"/>
              </w:rPr>
              <w:t>本项目</w:t>
            </w:r>
            <w:r>
              <w:rPr>
                <w:rFonts w:hint="default" w:ascii="Times New Roman" w:hAnsi="Times New Roman" w:cs="Times New Roman"/>
                <w:color w:val="auto"/>
                <w:sz w:val="24"/>
                <w:szCs w:val="24"/>
                <w:highlight w:val="none"/>
              </w:rPr>
              <w:t>施工时间短、施工点分散且施工人员少等原因，施工对动物的影响范围小，影响时间短，同时由于动物栖息环境和活动区域范围较大，食性广泛，且有一定迁移能力，只要在施工过程中加强管理、杜绝人为捕猎行为</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施工不会对野生动物造成明显的影响。</w:t>
            </w:r>
          </w:p>
          <w:p w14:paraId="5C4E47B3">
            <w:pPr>
              <w:keepNext w:val="0"/>
              <w:keepLines w:val="0"/>
              <w:pageBreakBefore w:val="0"/>
              <w:widowControl w:val="0"/>
              <w:wordWrap/>
              <w:topLinePunct w:val="0"/>
              <w:bidi w:val="0"/>
              <w:adjustRightInd w:val="0"/>
              <w:snapToGrid w:val="0"/>
              <w:spacing w:line="360" w:lineRule="auto"/>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5.</w:t>
            </w:r>
            <w:r>
              <w:rPr>
                <w:rFonts w:hint="eastAsia" w:cs="Times New Roman"/>
                <w:b/>
                <w:bCs/>
                <w:color w:val="auto"/>
                <w:sz w:val="24"/>
                <w:szCs w:val="24"/>
                <w:highlight w:val="none"/>
                <w:lang w:val="en-US" w:eastAsia="zh-CN"/>
              </w:rPr>
              <w:t>3</w:t>
            </w:r>
            <w:r>
              <w:rPr>
                <w:rFonts w:hint="default" w:ascii="Times New Roman" w:hAnsi="Times New Roman" w:cs="Times New Roman"/>
                <w:b/>
                <w:bCs/>
                <w:color w:val="auto"/>
                <w:sz w:val="24"/>
                <w:szCs w:val="24"/>
                <w:highlight w:val="none"/>
              </w:rPr>
              <w:t>施工期水土流失影响分析</w:t>
            </w:r>
          </w:p>
          <w:p w14:paraId="7B35D1C7">
            <w:pPr>
              <w:keepNext w:val="0"/>
              <w:keepLines w:val="0"/>
              <w:pageBreakBefore w:val="0"/>
              <w:widowControl w:val="0"/>
              <w:wordWrap/>
              <w:topLinePunct w:val="0"/>
              <w:bidi w:val="0"/>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（1）施工期水土流失影响因素分析</w:t>
            </w:r>
          </w:p>
          <w:p w14:paraId="0A31F5AA">
            <w:pPr>
              <w:keepNext w:val="0"/>
              <w:keepLines w:val="0"/>
              <w:pageBreakBefore w:val="0"/>
              <w:widowControl w:val="0"/>
              <w:wordWrap/>
              <w:topLinePunct w:val="0"/>
              <w:bidi w:val="0"/>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主要产生水土流失时段为土建施工期，土建期工程主要包括</w:t>
            </w:r>
            <w:r>
              <w:rPr>
                <w:rFonts w:hint="default" w:ascii="Times New Roman" w:hAnsi="Times New Roman" w:cs="Times New Roman"/>
                <w:color w:val="auto"/>
                <w:sz w:val="24"/>
                <w:szCs w:val="24"/>
                <w:highlight w:val="none"/>
                <w:lang w:val="en-US" w:eastAsia="zh-CN"/>
              </w:rPr>
              <w:t>场地</w:t>
            </w:r>
            <w:r>
              <w:rPr>
                <w:rFonts w:hint="default" w:ascii="Times New Roman" w:hAnsi="Times New Roman" w:cs="Times New Roman"/>
                <w:color w:val="auto"/>
                <w:sz w:val="24"/>
                <w:szCs w:val="24"/>
                <w:highlight w:val="none"/>
              </w:rPr>
              <w:t>平整、</w:t>
            </w:r>
            <w:r>
              <w:rPr>
                <w:rFonts w:hint="default" w:ascii="Times New Roman" w:hAnsi="Times New Roman" w:cs="Times New Roman"/>
                <w:color w:val="auto"/>
                <w:sz w:val="24"/>
                <w:szCs w:val="24"/>
                <w:highlight w:val="none"/>
                <w:lang w:val="en-US" w:eastAsia="zh-CN"/>
              </w:rPr>
              <w:t>基础开挖</w:t>
            </w:r>
            <w:r>
              <w:rPr>
                <w:rFonts w:hint="default" w:ascii="Times New Roman" w:hAnsi="Times New Roman" w:cs="Times New Roman"/>
                <w:color w:val="auto"/>
                <w:sz w:val="24"/>
                <w:szCs w:val="24"/>
                <w:highlight w:val="none"/>
              </w:rPr>
              <w:t>等。根据施工特点，场地平整、</w:t>
            </w:r>
            <w:r>
              <w:rPr>
                <w:rFonts w:hint="default" w:ascii="Times New Roman" w:hAnsi="Times New Roman" w:cs="Times New Roman"/>
                <w:color w:val="auto"/>
                <w:sz w:val="24"/>
                <w:szCs w:val="24"/>
                <w:highlight w:val="none"/>
                <w:lang w:val="en-US" w:eastAsia="zh-CN"/>
              </w:rPr>
              <w:t>基础开挖</w:t>
            </w:r>
            <w:r>
              <w:rPr>
                <w:rFonts w:hint="default" w:ascii="Times New Roman" w:hAnsi="Times New Roman" w:cs="Times New Roman"/>
                <w:color w:val="auto"/>
                <w:sz w:val="24"/>
                <w:szCs w:val="24"/>
                <w:highlight w:val="none"/>
              </w:rPr>
              <w:t>等工程在施工过程中将造成对原地表开挖、扰动和再塑，使地表植被遭到破坏，失去</w:t>
            </w:r>
            <w:r>
              <w:rPr>
                <w:rFonts w:hint="default" w:ascii="Times New Roman" w:hAnsi="Times New Roman" w:cs="Times New Roman"/>
                <w:color w:val="auto"/>
                <w:sz w:val="24"/>
                <w:szCs w:val="24"/>
                <w:highlight w:val="none"/>
                <w:lang w:val="en-US" w:eastAsia="zh-CN"/>
              </w:rPr>
              <w:t>原有</w:t>
            </w:r>
            <w:r>
              <w:rPr>
                <w:rFonts w:hint="default" w:ascii="Times New Roman" w:hAnsi="Times New Roman" w:cs="Times New Roman"/>
                <w:color w:val="auto"/>
                <w:sz w:val="24"/>
                <w:szCs w:val="24"/>
                <w:highlight w:val="none"/>
              </w:rPr>
              <w:t>固土和防</w:t>
            </w:r>
            <w:r>
              <w:rPr>
                <w:rFonts w:hint="default" w:ascii="Times New Roman" w:hAnsi="Times New Roman" w:cs="Times New Roman"/>
                <w:color w:val="auto"/>
                <w:sz w:val="24"/>
                <w:szCs w:val="24"/>
                <w:highlight w:val="none"/>
                <w:lang w:val="en-US" w:eastAsia="zh-CN"/>
              </w:rPr>
              <w:t>风蚀</w:t>
            </w:r>
            <w:r>
              <w:rPr>
                <w:rFonts w:hint="default" w:ascii="Times New Roman" w:hAnsi="Times New Roman" w:cs="Times New Roman"/>
                <w:color w:val="auto"/>
                <w:sz w:val="24"/>
                <w:szCs w:val="24"/>
                <w:highlight w:val="none"/>
              </w:rPr>
              <w:t>能力，</w:t>
            </w:r>
            <w:r>
              <w:rPr>
                <w:rFonts w:hint="default" w:ascii="Times New Roman" w:hAnsi="Times New Roman" w:cs="Times New Roman"/>
                <w:color w:val="auto"/>
                <w:sz w:val="24"/>
                <w:szCs w:val="24"/>
                <w:highlight w:val="none"/>
                <w:lang w:val="en-US" w:eastAsia="zh-CN"/>
              </w:rPr>
              <w:t>造成</w:t>
            </w:r>
            <w:r>
              <w:rPr>
                <w:rFonts w:hint="default" w:ascii="Times New Roman" w:hAnsi="Times New Roman" w:cs="Times New Roman"/>
                <w:color w:val="auto"/>
                <w:sz w:val="24"/>
                <w:szCs w:val="24"/>
                <w:highlight w:val="none"/>
              </w:rPr>
              <w:t>水土流失</w:t>
            </w:r>
            <w:r>
              <w:rPr>
                <w:rFonts w:hint="default" w:ascii="Times New Roman" w:hAnsi="Times New Roman" w:cs="Times New Roman"/>
                <w:color w:val="auto"/>
                <w:sz w:val="24"/>
                <w:szCs w:val="24"/>
                <w:highlight w:val="none"/>
                <w:lang w:val="en-US" w:eastAsia="zh-CN"/>
              </w:rPr>
              <w:t>等生态影响</w:t>
            </w:r>
            <w:r>
              <w:rPr>
                <w:rFonts w:hint="default" w:ascii="Times New Roman" w:hAnsi="Times New Roman" w:cs="Times New Roman"/>
                <w:color w:val="auto"/>
                <w:sz w:val="24"/>
                <w:szCs w:val="24"/>
                <w:highlight w:val="none"/>
              </w:rPr>
              <w:t>。</w:t>
            </w:r>
          </w:p>
          <w:p w14:paraId="61F37466">
            <w:pPr>
              <w:keepNext w:val="0"/>
              <w:keepLines w:val="0"/>
              <w:pageBreakBefore w:val="0"/>
              <w:widowControl w:val="0"/>
              <w:tabs>
                <w:tab w:val="left" w:pos="6480"/>
              </w:tabs>
              <w:wordWrap/>
              <w:topLinePunct w:val="0"/>
              <w:bidi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w:t>
            </w:r>
            <w:r>
              <w:rPr>
                <w:rFonts w:hint="default" w:ascii="Times New Roman" w:hAnsi="Times New Roman" w:cs="Times New Roman"/>
                <w:color w:val="auto"/>
                <w:sz w:val="24"/>
                <w:szCs w:val="24"/>
                <w:highlight w:val="none"/>
                <w:lang w:eastAsia="zh-CN"/>
              </w:rPr>
              <w:t>自然恢复期</w:t>
            </w:r>
            <w:r>
              <w:rPr>
                <w:rFonts w:hint="default" w:ascii="Times New Roman" w:hAnsi="Times New Roman" w:cs="Times New Roman"/>
                <w:color w:val="auto"/>
                <w:sz w:val="24"/>
                <w:szCs w:val="24"/>
                <w:highlight w:val="none"/>
              </w:rPr>
              <w:t>水土流失影响因素分析</w:t>
            </w:r>
          </w:p>
          <w:p w14:paraId="45583A6A">
            <w:pPr>
              <w:keepNext w:val="0"/>
              <w:keepLines w:val="0"/>
              <w:pageBreakBefore w:val="0"/>
              <w:widowControl w:val="0"/>
              <w:tabs>
                <w:tab w:val="left" w:pos="6480"/>
              </w:tabs>
              <w:wordWrap/>
              <w:topLinePunct w:val="0"/>
              <w:bidi w:val="0"/>
              <w:spacing w:line="360" w:lineRule="auto"/>
              <w:ind w:firstLine="480" w:firstLineChars="200"/>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项目</w:t>
            </w:r>
            <w:r>
              <w:rPr>
                <w:rFonts w:hint="default" w:ascii="Times New Roman" w:hAnsi="Times New Roman" w:cs="Times New Roman"/>
                <w:color w:val="auto"/>
                <w:sz w:val="24"/>
                <w:szCs w:val="24"/>
                <w:highlight w:val="none"/>
              </w:rPr>
              <w:t>水土保持工程设计</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施工与主体工程同时进行，主体工程建设实施后，水土保持工程措施也将一同完成。对于采用植被恢复措施的一些工程，初期植物措施尚未完全发挥其水土保持生态效益之前，受降雨和径流冲刷，仍会有轻度的水土流失发生。但随着植物生长，植被覆盖度的增加，水土流失将会逐渐得到控制，并降低到允许水土流失范围内。</w:t>
            </w:r>
          </w:p>
          <w:p w14:paraId="13684F7A">
            <w:pPr>
              <w:keepNext w:val="0"/>
              <w:keepLines w:val="0"/>
              <w:pageBreakBefore w:val="0"/>
              <w:widowControl w:val="0"/>
              <w:wordWrap/>
              <w:topLinePunct w:val="0"/>
              <w:bidi w:val="0"/>
              <w:adjustRightInd w:val="0"/>
              <w:snapToGrid w:val="0"/>
              <w:spacing w:line="360" w:lineRule="auto"/>
              <w:ind w:firstLine="482" w:firstLineChars="200"/>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5.</w:t>
            </w:r>
            <w:r>
              <w:rPr>
                <w:rFonts w:hint="eastAsia"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eastAsia="zh-CN"/>
              </w:rPr>
              <w:t>防沙治沙影响分析</w:t>
            </w:r>
          </w:p>
          <w:p w14:paraId="44677EF3">
            <w:pPr>
              <w:keepNext w:val="0"/>
              <w:keepLines w:val="0"/>
              <w:pageBreakBefore w:val="0"/>
              <w:widowControl w:val="0"/>
              <w:tabs>
                <w:tab w:val="left" w:pos="6480"/>
              </w:tabs>
              <w:wordWrap/>
              <w:topLinePunct w:val="0"/>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（1）占用和影响的沙漠、戈壁、沙地等其他沙化土地的面积等情况</w:t>
            </w:r>
          </w:p>
          <w:p w14:paraId="4982B335">
            <w:pPr>
              <w:keepNext w:val="0"/>
              <w:keepLines w:val="0"/>
              <w:pageBreakBefore w:val="0"/>
              <w:widowControl w:val="0"/>
              <w:tabs>
                <w:tab w:val="left" w:pos="6480"/>
              </w:tabs>
              <w:wordWrap/>
              <w:topLinePunct w:val="0"/>
              <w:bidi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根据《新疆维吾尔自治区级水土流失重点预防区和重点治理区复核划分成果》，</w:t>
            </w:r>
            <w:r>
              <w:rPr>
                <w:rFonts w:hint="eastAsia" w:eastAsia="宋体" w:cs="Times New Roman"/>
                <w:color w:val="auto"/>
                <w:sz w:val="24"/>
                <w:szCs w:val="24"/>
                <w:highlight w:val="none"/>
                <w:lang w:val="en-US" w:eastAsia="zh-CN"/>
              </w:rPr>
              <w:t>项目所在地</w:t>
            </w:r>
            <w:r>
              <w:rPr>
                <w:rFonts w:hint="default" w:ascii="Times New Roman" w:hAnsi="Times New Roman" w:eastAsia="宋体" w:cs="Times New Roman"/>
                <w:color w:val="auto"/>
                <w:sz w:val="24"/>
                <w:szCs w:val="24"/>
                <w:highlight w:val="none"/>
                <w:lang w:eastAsia="zh-CN"/>
              </w:rPr>
              <w:t>属于</w:t>
            </w:r>
            <w:r>
              <w:rPr>
                <w:rFonts w:hint="eastAsia" w:eastAsia="宋体" w:cs="Times New Roman"/>
                <w:color w:val="auto"/>
                <w:sz w:val="24"/>
                <w:szCs w:val="24"/>
                <w:highlight w:val="none"/>
                <w:lang w:val="en-US" w:eastAsia="zh-CN"/>
              </w:rPr>
              <w:t>水土流失</w:t>
            </w:r>
            <w:r>
              <w:rPr>
                <w:rFonts w:hint="default" w:ascii="Times New Roman" w:hAnsi="Times New Roman" w:eastAsia="宋体" w:cs="Times New Roman"/>
                <w:color w:val="auto"/>
                <w:sz w:val="24"/>
                <w:szCs w:val="24"/>
                <w:highlight w:val="none"/>
                <w:lang w:eastAsia="zh-CN"/>
              </w:rPr>
              <w:t>重点治理区，本次新增</w:t>
            </w:r>
            <w:r>
              <w:rPr>
                <w:rFonts w:hint="default" w:ascii="Times New Roman" w:hAnsi="Times New Roman" w:eastAsia="宋体" w:cs="Times New Roman"/>
                <w:color w:val="auto"/>
                <w:sz w:val="24"/>
                <w:szCs w:val="24"/>
                <w:highlight w:val="none"/>
                <w:lang w:val="en-US" w:eastAsia="zh-CN"/>
              </w:rPr>
              <w:t>永久和临时占地</w:t>
            </w:r>
            <w:r>
              <w:rPr>
                <w:rFonts w:hint="default" w:ascii="Times New Roman" w:hAnsi="Times New Roman" w:eastAsia="宋体" w:cs="Times New Roman"/>
                <w:color w:val="auto"/>
                <w:sz w:val="24"/>
                <w:szCs w:val="24"/>
                <w:highlight w:val="none"/>
                <w:lang w:eastAsia="zh-CN"/>
              </w:rPr>
              <w:t>为</w:t>
            </w:r>
            <w:r>
              <w:rPr>
                <w:rFonts w:hint="eastAsia" w:eastAsia="宋体" w:cs="Times New Roman"/>
                <w:color w:val="auto"/>
                <w:sz w:val="24"/>
                <w:szCs w:val="24"/>
                <w:highlight w:val="none"/>
                <w:lang w:val="en-US" w:eastAsia="zh-CN"/>
              </w:rPr>
              <w:t>92434</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rPr>
              <w:t>。</w:t>
            </w:r>
          </w:p>
          <w:p w14:paraId="362E1505">
            <w:pPr>
              <w:keepNext w:val="0"/>
              <w:keepLines w:val="0"/>
              <w:pageBreakBefore w:val="0"/>
              <w:widowControl w:val="0"/>
              <w:wordWrap/>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（2）地表扰动对当地土地沙化和沙尘天气的影响</w:t>
            </w:r>
          </w:p>
          <w:p w14:paraId="37530A5D">
            <w:pPr>
              <w:keepNext w:val="0"/>
              <w:keepLines w:val="0"/>
              <w:pageBreakBefore w:val="0"/>
              <w:widowControl w:val="0"/>
              <w:wordWrap/>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建设过程中对原地貌的扰动将降低项目占地范围内的土壤抗侵蚀能力，加剧土地沙化，此外，由于项目区风沙较大，空气干燥，加上地表植被覆盖度低，若项目土石方堆存过程中未采取防尘网苫盖、洒水抑尘等措施，遇大风天气将易产生严重的扬尘，形成沙尘天气。</w:t>
            </w:r>
          </w:p>
          <w:p w14:paraId="494D7908">
            <w:pPr>
              <w:keepNext w:val="0"/>
              <w:keepLines w:val="0"/>
              <w:pageBreakBefore w:val="0"/>
              <w:widowControl w:val="0"/>
              <w:wordWrap/>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（3）损坏的防沙治沙设施(包括生物、物理或化学固沙等措施)</w:t>
            </w:r>
          </w:p>
          <w:p w14:paraId="27A2C7D8">
            <w:pPr>
              <w:keepNext w:val="0"/>
              <w:keepLines w:val="0"/>
              <w:pageBreakBefore w:val="0"/>
              <w:widowControl w:val="0"/>
              <w:wordWrap/>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eastAsia" w:eastAsia="宋体" w:cs="Times New Roman"/>
                <w:color w:val="auto"/>
                <w:sz w:val="24"/>
                <w:szCs w:val="24"/>
                <w:highlight w:val="none"/>
                <w:lang w:eastAsia="zh-CN"/>
              </w:rPr>
              <w:t>本项目</w:t>
            </w:r>
            <w:r>
              <w:rPr>
                <w:rFonts w:hint="default" w:ascii="Times New Roman" w:hAnsi="Times New Roman" w:eastAsia="宋体" w:cs="Times New Roman"/>
                <w:color w:val="auto"/>
                <w:sz w:val="24"/>
                <w:szCs w:val="24"/>
                <w:highlight w:val="none"/>
              </w:rPr>
              <w:t>占地范围不涉及已建的防沙治沙设施。</w:t>
            </w:r>
          </w:p>
          <w:p w14:paraId="6A0DE863">
            <w:pPr>
              <w:keepNext w:val="0"/>
              <w:keepLines w:val="0"/>
              <w:pageBreakBefore w:val="0"/>
              <w:widowControl w:val="0"/>
              <w:wordWrap/>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（4）可能造成的土地沙化和沙尘等生态危害</w:t>
            </w:r>
          </w:p>
          <w:p w14:paraId="24D972C1">
            <w:pPr>
              <w:keepNext w:val="0"/>
              <w:keepLines w:val="0"/>
              <w:pageBreakBefore w:val="0"/>
              <w:widowControl w:val="0"/>
              <w:wordWrap/>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施工过程破坏土壤表面</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可能导致土壤</w:t>
            </w:r>
            <w:r>
              <w:rPr>
                <w:rFonts w:hint="default" w:ascii="Times New Roman" w:hAnsi="Times New Roman" w:eastAsia="宋体" w:cs="Times New Roman"/>
                <w:color w:val="auto"/>
                <w:sz w:val="24"/>
                <w:szCs w:val="24"/>
                <w:highlight w:val="none"/>
                <w:lang w:eastAsia="zh-CN"/>
              </w:rPr>
              <w:t>表层结构破坏</w:t>
            </w:r>
            <w:r>
              <w:rPr>
                <w:rFonts w:hint="default" w:ascii="Times New Roman" w:hAnsi="Times New Roman" w:eastAsia="宋体" w:cs="Times New Roman"/>
                <w:color w:val="auto"/>
                <w:sz w:val="24"/>
                <w:szCs w:val="24"/>
                <w:highlight w:val="none"/>
              </w:rPr>
              <w:t>，影响区域植被生长，造成土壤逐渐沙化。</w:t>
            </w:r>
          </w:p>
          <w:p w14:paraId="33996A0E">
            <w:pPr>
              <w:keepNext w:val="0"/>
              <w:keepLines w:val="0"/>
              <w:pageBreakBefore w:val="0"/>
              <w:widowControl w:val="0"/>
              <w:wordWrap/>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p>
          <w:p w14:paraId="287C486B">
            <w:pPr>
              <w:keepNext w:val="0"/>
              <w:keepLines w:val="0"/>
              <w:pageBreakBefore w:val="0"/>
              <w:widowControl w:val="0"/>
              <w:wordWrap/>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p>
          <w:p w14:paraId="21AC0E36">
            <w:pPr>
              <w:keepNext w:val="0"/>
              <w:keepLines w:val="0"/>
              <w:pageBreakBefore w:val="0"/>
              <w:widowControl w:val="0"/>
              <w:wordWrap/>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p>
          <w:p w14:paraId="69DCF30A">
            <w:pPr>
              <w:pStyle w:val="17"/>
              <w:keepNext w:val="0"/>
              <w:keepLines w:val="0"/>
              <w:pageBreakBefore w:val="0"/>
              <w:widowControl w:val="0"/>
              <w:wordWrap/>
              <w:topLinePunct w:val="0"/>
              <w:bidi w:val="0"/>
              <w:ind w:left="0" w:leftChars="0" w:firstLine="0" w:firstLineChars="0"/>
              <w:rPr>
                <w:rFonts w:hint="default" w:ascii="Times New Roman" w:hAnsi="Times New Roman" w:cs="Times New Roman"/>
                <w:color w:val="auto"/>
                <w:highlight w:val="none"/>
              </w:rPr>
            </w:pPr>
          </w:p>
          <w:p w14:paraId="2C26A9A9">
            <w:pPr>
              <w:pStyle w:val="9"/>
              <w:rPr>
                <w:rFonts w:hint="default" w:ascii="Times New Roman" w:hAnsi="Times New Roman" w:cs="Times New Roman"/>
                <w:color w:val="auto"/>
                <w:highlight w:val="none"/>
              </w:rPr>
            </w:pPr>
          </w:p>
          <w:p w14:paraId="66AAEA2B">
            <w:pPr>
              <w:pStyle w:val="23"/>
              <w:jc w:val="both"/>
              <w:rPr>
                <w:rFonts w:hint="default" w:ascii="Times New Roman" w:hAnsi="Times New Roman" w:cs="Times New Roman"/>
                <w:color w:val="auto"/>
                <w:highlight w:val="none"/>
              </w:rPr>
            </w:pPr>
          </w:p>
        </w:tc>
      </w:tr>
      <w:tr w14:paraId="2E5308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95" w:hRule="atLeast"/>
          <w:jc w:val="center"/>
        </w:trPr>
        <w:tc>
          <w:tcPr>
            <w:tcW w:w="256" w:type="pct"/>
            <w:noWrap w:val="0"/>
            <w:tcMar>
              <w:left w:w="28" w:type="dxa"/>
              <w:right w:w="28" w:type="dxa"/>
            </w:tcMar>
            <w:vAlign w:val="center"/>
          </w:tcPr>
          <w:p w14:paraId="69CF9AE8">
            <w:pPr>
              <w:pStyle w:val="16"/>
              <w:keepNext w:val="0"/>
              <w:keepLines w:val="0"/>
              <w:pageBreakBefore w:val="0"/>
              <w:widowControl w:val="0"/>
              <w:wordWrap/>
              <w:topLinePunct w:val="0"/>
              <w:bidi w:val="0"/>
              <w:adjustRightInd w:val="0"/>
              <w:snapToGrid w:val="0"/>
              <w:spacing w:before="0" w:beforeAutospacing="0" w:after="0" w:afterAutospacing="0"/>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bCs/>
                <w:color w:val="auto"/>
                <w:spacing w:val="10"/>
                <w:kern w:val="2"/>
                <w:sz w:val="24"/>
                <w:szCs w:val="24"/>
                <w:highlight w:val="none"/>
              </w:rPr>
              <w:t>运营期生态环境影响分析</w:t>
            </w:r>
          </w:p>
        </w:tc>
        <w:tc>
          <w:tcPr>
            <w:tcW w:w="4743" w:type="pct"/>
            <w:noWrap w:val="0"/>
            <w:vAlign w:val="top"/>
          </w:tcPr>
          <w:p w14:paraId="4032247B">
            <w:pPr>
              <w:keepNext w:val="0"/>
              <w:keepLines w:val="0"/>
              <w:pageBreakBefore w:val="0"/>
              <w:widowControl w:val="0"/>
              <w:numPr>
                <w:ilvl w:val="0"/>
                <w:numId w:val="4"/>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运营期</w:t>
            </w:r>
            <w:r>
              <w:rPr>
                <w:rFonts w:hint="eastAsia" w:eastAsia="宋体" w:cs="Times New Roman"/>
                <w:b/>
                <w:bCs/>
                <w:color w:val="auto"/>
                <w:sz w:val="24"/>
                <w:szCs w:val="24"/>
                <w:highlight w:val="none"/>
                <w:lang w:val="en-US" w:eastAsia="zh-CN"/>
              </w:rPr>
              <w:t>废气环境影响分析</w:t>
            </w:r>
          </w:p>
          <w:p w14:paraId="6A142C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color w:val="auto"/>
                <w:spacing w:val="-6"/>
                <w:sz w:val="24"/>
                <w:highlight w:val="none"/>
                <w:lang w:val="en-US" w:eastAsia="zh-CN"/>
              </w:rPr>
              <w:t>本项目升压站内办公生活区冬季采用电采暖，不涉及锅炉热源，运营期无废气产生。</w:t>
            </w:r>
          </w:p>
          <w:p w14:paraId="2A61F488">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textAlignment w:val="auto"/>
              <w:rPr>
                <w:rFonts w:hint="eastAsia" w:eastAsia="宋体" w:cs="Times New Roman"/>
                <w:b/>
                <w:bCs/>
                <w:color w:val="auto"/>
                <w:sz w:val="24"/>
                <w:szCs w:val="24"/>
                <w:highlight w:val="none"/>
                <w:lang w:val="en-US" w:eastAsia="zh-CN"/>
              </w:rPr>
            </w:pPr>
            <w:r>
              <w:rPr>
                <w:rFonts w:hint="eastAsia" w:eastAsia="宋体" w:cs="Times New Roman"/>
                <w:b/>
                <w:bCs/>
                <w:color w:val="auto"/>
                <w:sz w:val="24"/>
                <w:szCs w:val="24"/>
                <w:highlight w:val="none"/>
                <w:lang w:val="en-US" w:eastAsia="zh-CN"/>
              </w:rPr>
              <w:t>运营期水环境影响分析</w:t>
            </w:r>
          </w:p>
          <w:p w14:paraId="76CCA5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default" w:ascii="Times New Roman" w:hAnsi="Times New Roman" w:eastAsia="宋体" w:cs="Times New Roman"/>
                <w:color w:val="auto"/>
                <w:spacing w:val="-6"/>
                <w:sz w:val="24"/>
                <w:highlight w:val="none"/>
                <w:lang w:val="en-US" w:eastAsia="zh-CN"/>
              </w:rPr>
            </w:pPr>
            <w:r>
              <w:rPr>
                <w:rFonts w:hint="eastAsia" w:ascii="Times New Roman" w:hAnsi="Times New Roman" w:eastAsia="宋体" w:cs="Times New Roman"/>
                <w:color w:val="auto"/>
                <w:spacing w:val="-6"/>
                <w:sz w:val="24"/>
                <w:highlight w:val="none"/>
                <w:lang w:val="en-US" w:eastAsia="zh-CN"/>
              </w:rPr>
              <w:t>本项目废水主要为升压站运维人员生活污水，</w:t>
            </w:r>
            <w:r>
              <w:rPr>
                <w:rFonts w:hint="default" w:ascii="Times New Roman" w:hAnsi="Times New Roman" w:eastAsia="宋体" w:cs="Times New Roman"/>
                <w:color w:val="auto"/>
                <w:spacing w:val="-6"/>
                <w:sz w:val="24"/>
                <w:highlight w:val="none"/>
                <w:lang w:val="en-US" w:eastAsia="zh-CN"/>
              </w:rPr>
              <w:t>按每人每天用水量</w:t>
            </w:r>
            <w:r>
              <w:rPr>
                <w:rFonts w:hint="eastAsia" w:ascii="Times New Roman" w:hAnsi="Times New Roman" w:eastAsia="宋体" w:cs="Times New Roman"/>
                <w:color w:val="auto"/>
                <w:spacing w:val="-6"/>
                <w:sz w:val="24"/>
                <w:highlight w:val="none"/>
                <w:lang w:val="en-US" w:eastAsia="zh-CN"/>
              </w:rPr>
              <w:t>50</w:t>
            </w:r>
            <w:r>
              <w:rPr>
                <w:rFonts w:hint="default" w:ascii="Times New Roman" w:hAnsi="Times New Roman" w:eastAsia="宋体" w:cs="Times New Roman"/>
                <w:color w:val="auto"/>
                <w:spacing w:val="-6"/>
                <w:sz w:val="24"/>
                <w:highlight w:val="none"/>
                <w:lang w:val="en-US" w:eastAsia="zh-CN"/>
              </w:rPr>
              <w:t>L计，生活污水排放系统取0.8，年排放量为</w:t>
            </w:r>
            <w:r>
              <w:rPr>
                <w:rFonts w:hint="eastAsia" w:ascii="Times New Roman" w:hAnsi="Times New Roman" w:eastAsia="宋体" w:cs="Times New Roman"/>
                <w:color w:val="auto"/>
                <w:spacing w:val="-6"/>
                <w:sz w:val="24"/>
                <w:highlight w:val="none"/>
                <w:lang w:val="en-US" w:eastAsia="zh-CN"/>
              </w:rPr>
              <w:t>262.8</w:t>
            </w:r>
            <w:r>
              <w:rPr>
                <w:rFonts w:hint="default" w:ascii="Times New Roman" w:hAnsi="Times New Roman" w:eastAsia="宋体" w:cs="Times New Roman"/>
                <w:color w:val="auto"/>
                <w:spacing w:val="-6"/>
                <w:sz w:val="24"/>
                <w:highlight w:val="none"/>
                <w:lang w:val="en-US" w:eastAsia="zh-CN"/>
              </w:rPr>
              <w:t>m</w:t>
            </w:r>
            <w:r>
              <w:rPr>
                <w:rFonts w:hint="default" w:ascii="Times New Roman" w:hAnsi="Times New Roman" w:eastAsia="宋体" w:cs="Times New Roman"/>
                <w:color w:val="auto"/>
                <w:spacing w:val="-6"/>
                <w:sz w:val="24"/>
                <w:highlight w:val="none"/>
                <w:vertAlign w:val="superscript"/>
                <w:lang w:val="en-US" w:eastAsia="zh-CN"/>
              </w:rPr>
              <w:t>3</w:t>
            </w:r>
            <w:r>
              <w:rPr>
                <w:rFonts w:hint="default" w:ascii="Times New Roman" w:hAnsi="Times New Roman" w:eastAsia="宋体" w:cs="Times New Roman"/>
                <w:color w:val="auto"/>
                <w:spacing w:val="-6"/>
                <w:sz w:val="24"/>
                <w:highlight w:val="none"/>
                <w:lang w:val="en-US" w:eastAsia="zh-CN"/>
              </w:rPr>
              <w:t>/a，生活污水</w:t>
            </w:r>
            <w:r>
              <w:rPr>
                <w:rFonts w:hint="eastAsia" w:ascii="Times New Roman" w:hAnsi="Times New Roman" w:eastAsia="宋体" w:cs="Times New Roman"/>
                <w:color w:val="auto"/>
                <w:spacing w:val="-6"/>
                <w:sz w:val="24"/>
                <w:highlight w:val="none"/>
                <w:lang w:val="en-US" w:eastAsia="zh-CN"/>
              </w:rPr>
              <w:t>经管网进入园区污水处理厂处理，</w:t>
            </w:r>
            <w:r>
              <w:rPr>
                <w:rFonts w:hint="default" w:ascii="Times New Roman" w:hAnsi="Times New Roman" w:eastAsia="宋体" w:cs="Times New Roman"/>
                <w:color w:val="auto"/>
                <w:spacing w:val="-6"/>
                <w:sz w:val="24"/>
                <w:highlight w:val="none"/>
                <w:lang w:val="en-US" w:eastAsia="zh-CN"/>
              </w:rPr>
              <w:t>不外排</w:t>
            </w:r>
            <w:r>
              <w:rPr>
                <w:rFonts w:hint="eastAsia" w:ascii="Times New Roman" w:hAnsi="Times New Roman" w:eastAsia="宋体" w:cs="Times New Roman"/>
                <w:color w:val="auto"/>
                <w:spacing w:val="-6"/>
                <w:sz w:val="24"/>
                <w:highlight w:val="none"/>
                <w:lang w:val="en-US" w:eastAsia="zh-CN"/>
              </w:rPr>
              <w:t>，对外环境影响不大。</w:t>
            </w:r>
          </w:p>
          <w:p w14:paraId="1229D7F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3.运营期噪声环境影响分析</w:t>
            </w:r>
          </w:p>
          <w:p w14:paraId="653B9993">
            <w:pPr>
              <w:keepNext w:val="0"/>
              <w:keepLines w:val="0"/>
              <w:pageBreakBefore w:val="0"/>
              <w:widowControl w:val="0"/>
              <w:wordWrap/>
              <w:topLinePunct w:val="0"/>
              <w:bidi w:val="0"/>
              <w:adjustRightInd w:val="0"/>
              <w:snapToGrid w:val="0"/>
              <w:spacing w:line="360" w:lineRule="auto"/>
              <w:ind w:firstLine="480" w:firstLineChars="200"/>
              <w:rPr>
                <w:rFonts w:hint="default" w:ascii="Times New Roman" w:hAnsi="Times New Roman" w:eastAsia="宋体" w:cs="Times New Roman"/>
                <w:color w:val="0000FF"/>
                <w:sz w:val="24"/>
                <w:szCs w:val="24"/>
                <w:highlight w:val="none"/>
                <w:lang w:val="en-US" w:eastAsia="zh-CN"/>
              </w:rPr>
            </w:pPr>
            <w:bookmarkStart w:id="19" w:name="OLE_LINK2"/>
            <w:bookmarkStart w:id="20" w:name="OLE_LINK1"/>
            <w:r>
              <w:rPr>
                <w:rFonts w:hint="eastAsia" w:ascii="Times New Roman" w:hAnsi="Times New Roman" w:eastAsia="宋体" w:cs="Times New Roman"/>
                <w:color w:val="0000FF"/>
                <w:sz w:val="24"/>
                <w:szCs w:val="24"/>
                <w:highlight w:val="none"/>
              </w:rPr>
              <w:t>本工程储能电站主要噪声源是站内设备运行时产生的连续电磁性和机械性噪声。对周围声环境的影响主要是由主变压器和辅助机械设备（如制冷空调、风机等）运行时所产生的噪声</w:t>
            </w:r>
            <w:bookmarkEnd w:id="19"/>
            <w:r>
              <w:rPr>
                <w:rFonts w:hint="eastAsia" w:ascii="Times New Roman" w:hAnsi="Times New Roman" w:eastAsia="宋体" w:cs="Times New Roman"/>
                <w:color w:val="0000FF"/>
                <w:sz w:val="24"/>
                <w:szCs w:val="24"/>
                <w:highlight w:val="none"/>
                <w:lang w:eastAsia="zh-CN"/>
              </w:rPr>
              <w:t>，</w:t>
            </w:r>
            <w:r>
              <w:rPr>
                <w:rFonts w:hint="default" w:ascii="Times New Roman" w:hAnsi="Times New Roman" w:cs="Times New Roman"/>
                <w:color w:val="0000FF"/>
                <w:sz w:val="24"/>
                <w:szCs w:val="24"/>
                <w:highlight w:val="none"/>
              </w:rPr>
              <w:t>声级值</w:t>
            </w:r>
            <w:r>
              <w:rPr>
                <w:rFonts w:hint="default" w:ascii="Times New Roman" w:hAnsi="Times New Roman" w:cs="Times New Roman"/>
                <w:color w:val="0000FF"/>
                <w:sz w:val="24"/>
                <w:szCs w:val="24"/>
                <w:highlight w:val="none"/>
                <w:lang w:val="en-US" w:eastAsia="zh-CN"/>
              </w:rPr>
              <w:t>在65-75</w:t>
            </w:r>
            <w:r>
              <w:rPr>
                <w:rFonts w:hint="default" w:ascii="Times New Roman" w:hAnsi="Times New Roman" w:cs="Times New Roman"/>
                <w:color w:val="0000FF"/>
                <w:sz w:val="24"/>
                <w:szCs w:val="24"/>
                <w:highlight w:val="none"/>
              </w:rPr>
              <w:t>dB(</w:t>
            </w:r>
            <w:bookmarkStart w:id="21" w:name="OLE_LINK14"/>
            <w:r>
              <w:rPr>
                <w:rFonts w:hint="default" w:ascii="Times New Roman" w:hAnsi="Times New Roman" w:cs="Times New Roman"/>
                <w:color w:val="0000FF"/>
                <w:sz w:val="24"/>
                <w:szCs w:val="24"/>
                <w:highlight w:val="none"/>
              </w:rPr>
              <w:t>A)。</w:t>
            </w:r>
            <w:bookmarkEnd w:id="20"/>
            <w:r>
              <w:rPr>
                <w:rFonts w:hint="default" w:ascii="Times New Roman" w:hAnsi="Times New Roman" w:cs="Times New Roman"/>
                <w:color w:val="0000FF"/>
                <w:sz w:val="24"/>
                <w:szCs w:val="24"/>
                <w:highlight w:val="none"/>
              </w:rPr>
              <w:t>噪声源强见</w:t>
            </w:r>
            <w:r>
              <w:rPr>
                <w:rFonts w:hint="default" w:ascii="Times New Roman" w:hAnsi="Times New Roman" w:cs="Times New Roman"/>
                <w:color w:val="0000FF"/>
                <w:sz w:val="24"/>
                <w:szCs w:val="24"/>
                <w:highlight w:val="none"/>
                <w:lang w:eastAsia="zh-CN"/>
              </w:rPr>
              <w:t>表</w:t>
            </w:r>
            <w:bookmarkEnd w:id="21"/>
            <w:r>
              <w:rPr>
                <w:rFonts w:hint="default" w:ascii="Times New Roman" w:hAnsi="Times New Roman" w:cs="Times New Roman"/>
                <w:color w:val="0000FF"/>
                <w:sz w:val="24"/>
                <w:szCs w:val="24"/>
                <w:highlight w:val="none"/>
                <w:lang w:val="en-US" w:eastAsia="zh-CN"/>
              </w:rPr>
              <w:t>4-</w:t>
            </w:r>
            <w:r>
              <w:rPr>
                <w:rFonts w:hint="eastAsia" w:ascii="Times New Roman" w:hAnsi="Times New Roman" w:cs="Times New Roman"/>
                <w:color w:val="0000FF"/>
                <w:sz w:val="24"/>
                <w:szCs w:val="24"/>
                <w:highlight w:val="none"/>
                <w:lang w:val="en-US" w:eastAsia="zh-CN"/>
              </w:rPr>
              <w:t>2</w:t>
            </w:r>
            <w:r>
              <w:rPr>
                <w:rFonts w:hint="default" w:ascii="Times New Roman" w:hAnsi="Times New Roman" w:cs="Times New Roman"/>
                <w:color w:val="0000FF"/>
                <w:sz w:val="24"/>
                <w:szCs w:val="24"/>
                <w:highlight w:val="none"/>
                <w:lang w:val="en-US" w:eastAsia="zh-CN"/>
              </w:rPr>
              <w:t>。</w:t>
            </w:r>
          </w:p>
          <w:p w14:paraId="1A87EAE8">
            <w:pPr>
              <w:keepNext w:val="0"/>
              <w:keepLines w:val="0"/>
              <w:pageBreakBefore w:val="0"/>
              <w:widowControl w:val="0"/>
              <w:wordWrap/>
              <w:topLinePunct w:val="0"/>
              <w:bidi w:val="0"/>
              <w:adjustRightInd w:val="0"/>
              <w:snapToGrid w:val="0"/>
              <w:spacing w:line="240" w:lineRule="auto"/>
              <w:ind w:firstLine="2108" w:firstLineChars="1000"/>
              <w:rPr>
                <w:rFonts w:hint="default" w:ascii="Times New Roman" w:hAnsi="Times New Roman" w:eastAsia="宋体" w:cs="Times New Roman"/>
                <w:b/>
                <w:bCs/>
                <w:color w:val="0000FF"/>
                <w:sz w:val="21"/>
                <w:szCs w:val="21"/>
                <w:highlight w:val="none"/>
                <w:lang w:val="en-US" w:eastAsia="zh-CN"/>
              </w:rPr>
            </w:pPr>
            <w:r>
              <w:rPr>
                <w:rFonts w:hint="default" w:ascii="Times New Roman" w:hAnsi="Times New Roman" w:cs="Times New Roman"/>
                <w:b/>
                <w:bCs/>
                <w:color w:val="0000FF"/>
                <w:sz w:val="21"/>
                <w:szCs w:val="21"/>
                <w:highlight w:val="none"/>
                <w:lang w:eastAsia="zh-CN"/>
              </w:rPr>
              <w:t>表</w:t>
            </w:r>
            <w:r>
              <w:rPr>
                <w:rFonts w:hint="default" w:ascii="Times New Roman" w:hAnsi="Times New Roman" w:cs="Times New Roman"/>
                <w:b/>
                <w:bCs/>
                <w:color w:val="0000FF"/>
                <w:sz w:val="21"/>
                <w:szCs w:val="21"/>
                <w:highlight w:val="none"/>
                <w:lang w:val="en-US" w:eastAsia="zh-CN"/>
              </w:rPr>
              <w:t>4-</w:t>
            </w:r>
            <w:r>
              <w:rPr>
                <w:rFonts w:hint="eastAsia" w:ascii="Times New Roman" w:hAnsi="Times New Roman" w:cs="Times New Roman"/>
                <w:b/>
                <w:bCs/>
                <w:color w:val="0000FF"/>
                <w:sz w:val="21"/>
                <w:szCs w:val="21"/>
                <w:highlight w:val="none"/>
                <w:lang w:val="en-US" w:eastAsia="zh-CN"/>
              </w:rPr>
              <w:t>2</w:t>
            </w:r>
            <w:r>
              <w:rPr>
                <w:rFonts w:hint="default" w:ascii="Times New Roman" w:hAnsi="Times New Roman" w:cs="Times New Roman"/>
                <w:b/>
                <w:bCs/>
                <w:color w:val="0000FF"/>
                <w:sz w:val="21"/>
                <w:szCs w:val="21"/>
                <w:highlight w:val="none"/>
                <w:lang w:val="en-US" w:eastAsia="zh-CN"/>
              </w:rPr>
              <w:t xml:space="preserve">     </w:t>
            </w:r>
            <w:r>
              <w:rPr>
                <w:rFonts w:hint="eastAsia" w:ascii="Times New Roman" w:hAnsi="Times New Roman" w:cs="Times New Roman"/>
                <w:b/>
                <w:bCs/>
                <w:color w:val="0000FF"/>
                <w:sz w:val="21"/>
                <w:szCs w:val="21"/>
                <w:highlight w:val="none"/>
                <w:lang w:val="en-US" w:eastAsia="zh-CN"/>
              </w:rPr>
              <w:t>220kV</w:t>
            </w:r>
            <w:r>
              <w:rPr>
                <w:rFonts w:hint="default" w:ascii="Times New Roman" w:hAnsi="Times New Roman" w:cs="Times New Roman"/>
                <w:b/>
                <w:bCs/>
                <w:color w:val="0000FF"/>
                <w:sz w:val="21"/>
                <w:szCs w:val="21"/>
                <w:highlight w:val="none"/>
                <w:lang w:val="en-US" w:eastAsia="zh-CN"/>
              </w:rPr>
              <w:t>升压站设备噪声源强一览表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2697"/>
              <w:gridCol w:w="1734"/>
              <w:gridCol w:w="924"/>
              <w:gridCol w:w="1620"/>
            </w:tblGrid>
            <w:tr w14:paraId="06FC6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noWrap w:val="0"/>
                  <w:vAlign w:val="center"/>
                </w:tcPr>
                <w:p w14:paraId="7A58DB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FF"/>
                      <w:sz w:val="21"/>
                      <w:szCs w:val="21"/>
                      <w:highlight w:val="none"/>
                      <w:vertAlign w:val="baseline"/>
                      <w:lang w:eastAsia="zh-CN"/>
                    </w:rPr>
                  </w:pPr>
                  <w:bookmarkStart w:id="22" w:name="OLE_LINK10"/>
                  <w:r>
                    <w:rPr>
                      <w:rFonts w:hint="default" w:ascii="Times New Roman" w:hAnsi="Times New Roman" w:cs="Times New Roman"/>
                      <w:b w:val="0"/>
                      <w:bCs w:val="0"/>
                      <w:color w:val="0000FF"/>
                      <w:sz w:val="21"/>
                      <w:szCs w:val="21"/>
                      <w:highlight w:val="none"/>
                      <w:vertAlign w:val="baseline"/>
                      <w:lang w:eastAsia="zh-CN"/>
                    </w:rPr>
                    <w:t>序号</w:t>
                  </w:r>
                  <w:bookmarkEnd w:id="22"/>
                </w:p>
              </w:tc>
              <w:tc>
                <w:tcPr>
                  <w:tcW w:w="1733" w:type="pct"/>
                  <w:noWrap w:val="0"/>
                  <w:vAlign w:val="center"/>
                </w:tcPr>
                <w:p w14:paraId="116379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FF"/>
                      <w:sz w:val="21"/>
                      <w:szCs w:val="21"/>
                      <w:highlight w:val="none"/>
                      <w:vertAlign w:val="baseline"/>
                      <w:lang w:eastAsia="zh-CN"/>
                    </w:rPr>
                  </w:pPr>
                  <w:r>
                    <w:rPr>
                      <w:rFonts w:hint="default" w:ascii="Times New Roman" w:hAnsi="Times New Roman" w:cs="Times New Roman"/>
                      <w:b w:val="0"/>
                      <w:bCs w:val="0"/>
                      <w:color w:val="0000FF"/>
                      <w:sz w:val="21"/>
                      <w:szCs w:val="21"/>
                      <w:highlight w:val="none"/>
                      <w:vertAlign w:val="baseline"/>
                      <w:lang w:eastAsia="zh-CN"/>
                    </w:rPr>
                    <w:t>设备名称</w:t>
                  </w:r>
                </w:p>
              </w:tc>
              <w:tc>
                <w:tcPr>
                  <w:tcW w:w="1114" w:type="pct"/>
                  <w:noWrap w:val="0"/>
                  <w:vAlign w:val="center"/>
                </w:tcPr>
                <w:p w14:paraId="0BD70E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FF"/>
                      <w:sz w:val="21"/>
                      <w:szCs w:val="21"/>
                      <w:highlight w:val="none"/>
                      <w:vertAlign w:val="baseline"/>
                      <w:lang w:val="en-US" w:eastAsia="zh-CN"/>
                    </w:rPr>
                  </w:pPr>
                  <w:r>
                    <w:rPr>
                      <w:rFonts w:hint="eastAsia" w:ascii="Times New Roman" w:hAnsi="Times New Roman" w:eastAsia="宋体" w:cs="Times New Roman"/>
                      <w:b w:val="0"/>
                      <w:bCs w:val="0"/>
                      <w:color w:val="0000FF"/>
                      <w:sz w:val="21"/>
                      <w:szCs w:val="21"/>
                      <w:highlight w:val="none"/>
                      <w:vertAlign w:val="baseline"/>
                      <w:lang w:val="en-US" w:eastAsia="zh-CN"/>
                    </w:rPr>
                    <w:t>数量</w:t>
                  </w:r>
                </w:p>
              </w:tc>
              <w:tc>
                <w:tcPr>
                  <w:tcW w:w="593" w:type="pct"/>
                  <w:noWrap w:val="0"/>
                  <w:vAlign w:val="center"/>
                </w:tcPr>
                <w:p w14:paraId="313091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FF"/>
                      <w:sz w:val="21"/>
                      <w:szCs w:val="21"/>
                      <w:highlight w:val="none"/>
                      <w:vertAlign w:val="baseline"/>
                      <w:lang w:eastAsia="zh-CN"/>
                    </w:rPr>
                  </w:pPr>
                  <w:r>
                    <w:rPr>
                      <w:rFonts w:hint="default" w:ascii="Times New Roman" w:hAnsi="Times New Roman" w:cs="Times New Roman"/>
                      <w:b w:val="0"/>
                      <w:bCs w:val="0"/>
                      <w:color w:val="0000FF"/>
                      <w:sz w:val="21"/>
                      <w:szCs w:val="21"/>
                      <w:highlight w:val="none"/>
                      <w:vertAlign w:val="baseline"/>
                      <w:lang w:eastAsia="zh-CN"/>
                    </w:rPr>
                    <w:t>单位</w:t>
                  </w:r>
                </w:p>
              </w:tc>
              <w:tc>
                <w:tcPr>
                  <w:tcW w:w="1040" w:type="pct"/>
                  <w:noWrap w:val="0"/>
                  <w:vAlign w:val="center"/>
                </w:tcPr>
                <w:p w14:paraId="589F44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FF"/>
                      <w:sz w:val="21"/>
                      <w:szCs w:val="21"/>
                      <w:highlight w:val="none"/>
                      <w:vertAlign w:val="baseline"/>
                      <w:lang w:val="en-US" w:eastAsia="zh-CN"/>
                    </w:rPr>
                  </w:pPr>
                  <w:r>
                    <w:rPr>
                      <w:rFonts w:hint="default" w:ascii="Times New Roman" w:hAnsi="Times New Roman" w:cs="Times New Roman"/>
                      <w:b w:val="0"/>
                      <w:bCs w:val="0"/>
                      <w:color w:val="0000FF"/>
                      <w:sz w:val="21"/>
                      <w:szCs w:val="21"/>
                      <w:highlight w:val="none"/>
                      <w:vertAlign w:val="baseline"/>
                      <w:lang w:eastAsia="zh-CN"/>
                    </w:rPr>
                    <w:t>源强</w:t>
                  </w:r>
                  <w:r>
                    <w:rPr>
                      <w:rFonts w:hint="default" w:ascii="Times New Roman" w:hAnsi="Times New Roman" w:cs="Times New Roman"/>
                      <w:b w:val="0"/>
                      <w:bCs w:val="0"/>
                      <w:color w:val="0000FF"/>
                      <w:sz w:val="21"/>
                      <w:szCs w:val="21"/>
                      <w:highlight w:val="none"/>
                      <w:vertAlign w:val="baseline"/>
                      <w:lang w:val="en-US" w:eastAsia="zh-CN"/>
                    </w:rPr>
                    <w:t>dB（A）</w:t>
                  </w:r>
                </w:p>
              </w:tc>
            </w:tr>
            <w:tr w14:paraId="1D46A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noWrap w:val="0"/>
                  <w:vAlign w:val="center"/>
                </w:tcPr>
                <w:p w14:paraId="251B2C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FF"/>
                      <w:sz w:val="21"/>
                      <w:szCs w:val="21"/>
                      <w:highlight w:val="none"/>
                      <w:vertAlign w:val="baseline"/>
                      <w:lang w:val="en-US" w:eastAsia="zh-CN"/>
                    </w:rPr>
                  </w:pPr>
                  <w:r>
                    <w:rPr>
                      <w:rFonts w:hint="default" w:ascii="Times New Roman" w:hAnsi="Times New Roman" w:cs="Times New Roman"/>
                      <w:b w:val="0"/>
                      <w:bCs w:val="0"/>
                      <w:color w:val="0000FF"/>
                      <w:sz w:val="21"/>
                      <w:szCs w:val="21"/>
                      <w:highlight w:val="none"/>
                      <w:vertAlign w:val="baseline"/>
                      <w:lang w:val="en-US" w:eastAsia="zh-CN"/>
                    </w:rPr>
                    <w:t>1</w:t>
                  </w:r>
                </w:p>
              </w:tc>
              <w:tc>
                <w:tcPr>
                  <w:tcW w:w="1733" w:type="pct"/>
                  <w:noWrap w:val="0"/>
                  <w:vAlign w:val="center"/>
                </w:tcPr>
                <w:p w14:paraId="458262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FF"/>
                      <w:sz w:val="21"/>
                      <w:szCs w:val="21"/>
                      <w:highlight w:val="none"/>
                      <w:vertAlign w:val="baseline"/>
                      <w:lang w:val="en-US" w:eastAsia="zh-CN"/>
                    </w:rPr>
                  </w:pPr>
                  <w:r>
                    <w:rPr>
                      <w:rFonts w:hint="default" w:ascii="Times New Roman" w:hAnsi="Times New Roman" w:eastAsia="宋体" w:cs="Times New Roman"/>
                      <w:b w:val="0"/>
                      <w:bCs w:val="0"/>
                      <w:color w:val="0000FF"/>
                      <w:sz w:val="21"/>
                      <w:szCs w:val="21"/>
                      <w:highlight w:val="none"/>
                      <w:vertAlign w:val="baseline"/>
                      <w:lang w:val="en-US" w:eastAsia="zh-CN"/>
                    </w:rPr>
                    <w:t>主变</w:t>
                  </w:r>
                </w:p>
              </w:tc>
              <w:tc>
                <w:tcPr>
                  <w:tcW w:w="1114" w:type="pct"/>
                  <w:noWrap w:val="0"/>
                  <w:vAlign w:val="center"/>
                </w:tcPr>
                <w:p w14:paraId="685AD3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FF"/>
                      <w:sz w:val="21"/>
                      <w:szCs w:val="21"/>
                      <w:highlight w:val="none"/>
                      <w:vertAlign w:val="baseline"/>
                      <w:lang w:val="en-US" w:eastAsia="zh-CN"/>
                    </w:rPr>
                  </w:pPr>
                  <w:r>
                    <w:rPr>
                      <w:rFonts w:hint="eastAsia" w:ascii="Times New Roman" w:hAnsi="Times New Roman" w:eastAsia="宋体" w:cs="Times New Roman"/>
                      <w:b w:val="0"/>
                      <w:bCs w:val="0"/>
                      <w:color w:val="0000FF"/>
                      <w:sz w:val="21"/>
                      <w:szCs w:val="21"/>
                      <w:highlight w:val="none"/>
                      <w:vertAlign w:val="baseline"/>
                      <w:lang w:val="en-US" w:eastAsia="zh-CN"/>
                    </w:rPr>
                    <w:t>2</w:t>
                  </w:r>
                </w:p>
              </w:tc>
              <w:tc>
                <w:tcPr>
                  <w:tcW w:w="593" w:type="pct"/>
                  <w:noWrap w:val="0"/>
                  <w:vAlign w:val="center"/>
                </w:tcPr>
                <w:p w14:paraId="5723E2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FF"/>
                      <w:sz w:val="21"/>
                      <w:szCs w:val="21"/>
                      <w:highlight w:val="none"/>
                      <w:vertAlign w:val="baseline"/>
                      <w:lang w:eastAsia="zh-CN"/>
                    </w:rPr>
                  </w:pPr>
                  <w:r>
                    <w:rPr>
                      <w:rFonts w:hint="default" w:ascii="Times New Roman" w:hAnsi="Times New Roman" w:cs="Times New Roman"/>
                      <w:b w:val="0"/>
                      <w:bCs w:val="0"/>
                      <w:color w:val="0000FF"/>
                      <w:sz w:val="21"/>
                      <w:szCs w:val="21"/>
                      <w:highlight w:val="none"/>
                      <w:vertAlign w:val="baseline"/>
                      <w:lang w:eastAsia="zh-CN"/>
                    </w:rPr>
                    <w:t>台</w:t>
                  </w:r>
                </w:p>
              </w:tc>
              <w:tc>
                <w:tcPr>
                  <w:tcW w:w="1040" w:type="pct"/>
                  <w:noWrap w:val="0"/>
                  <w:vAlign w:val="center"/>
                </w:tcPr>
                <w:p w14:paraId="4A8B32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FF"/>
                      <w:sz w:val="21"/>
                      <w:szCs w:val="21"/>
                      <w:highlight w:val="none"/>
                      <w:vertAlign w:val="baseline"/>
                      <w:lang w:val="en-US" w:eastAsia="zh-CN"/>
                    </w:rPr>
                  </w:pPr>
                  <w:r>
                    <w:rPr>
                      <w:rFonts w:hint="default" w:ascii="Times New Roman" w:hAnsi="Times New Roman" w:cs="Times New Roman"/>
                      <w:b w:val="0"/>
                      <w:bCs w:val="0"/>
                      <w:color w:val="0000FF"/>
                      <w:sz w:val="21"/>
                      <w:szCs w:val="21"/>
                      <w:highlight w:val="none"/>
                      <w:vertAlign w:val="baseline"/>
                      <w:lang w:val="en-US" w:eastAsia="zh-CN"/>
                    </w:rPr>
                    <w:t>75</w:t>
                  </w:r>
                </w:p>
              </w:tc>
            </w:tr>
            <w:tr w14:paraId="7F13E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noWrap w:val="0"/>
                  <w:vAlign w:val="center"/>
                </w:tcPr>
                <w:p w14:paraId="06F1DC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FF"/>
                      <w:sz w:val="21"/>
                      <w:szCs w:val="21"/>
                      <w:highlight w:val="none"/>
                      <w:vertAlign w:val="baseline"/>
                      <w:lang w:val="en-US" w:eastAsia="zh-CN"/>
                    </w:rPr>
                  </w:pPr>
                  <w:r>
                    <w:rPr>
                      <w:rFonts w:hint="default" w:ascii="Times New Roman" w:hAnsi="Times New Roman" w:cs="Times New Roman"/>
                      <w:b w:val="0"/>
                      <w:bCs w:val="0"/>
                      <w:color w:val="0000FF"/>
                      <w:sz w:val="21"/>
                      <w:szCs w:val="21"/>
                      <w:highlight w:val="none"/>
                      <w:vertAlign w:val="baseline"/>
                      <w:lang w:val="en-US" w:eastAsia="zh-CN"/>
                    </w:rPr>
                    <w:t>2</w:t>
                  </w:r>
                </w:p>
              </w:tc>
              <w:tc>
                <w:tcPr>
                  <w:tcW w:w="1733" w:type="pct"/>
                  <w:noWrap w:val="0"/>
                  <w:vAlign w:val="center"/>
                </w:tcPr>
                <w:p w14:paraId="7EE448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FF"/>
                      <w:sz w:val="21"/>
                      <w:szCs w:val="21"/>
                      <w:highlight w:val="none"/>
                      <w:vertAlign w:val="baseline"/>
                      <w:lang w:val="en-US" w:eastAsia="zh-CN"/>
                    </w:rPr>
                  </w:pPr>
                  <w:r>
                    <w:rPr>
                      <w:rFonts w:hint="default" w:ascii="Times New Roman" w:hAnsi="Times New Roman" w:cs="Times New Roman"/>
                      <w:b w:val="0"/>
                      <w:bCs w:val="0"/>
                      <w:color w:val="0000FF"/>
                      <w:sz w:val="21"/>
                      <w:szCs w:val="21"/>
                      <w:highlight w:val="none"/>
                      <w:vertAlign w:val="baseline"/>
                      <w:lang w:val="en-US" w:eastAsia="zh-CN"/>
                    </w:rPr>
                    <w:t>SVG成套设备</w:t>
                  </w:r>
                </w:p>
              </w:tc>
              <w:tc>
                <w:tcPr>
                  <w:tcW w:w="1114" w:type="pct"/>
                  <w:noWrap w:val="0"/>
                  <w:vAlign w:val="center"/>
                </w:tcPr>
                <w:p w14:paraId="4EF0F8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FF"/>
                      <w:sz w:val="21"/>
                      <w:szCs w:val="21"/>
                      <w:highlight w:val="none"/>
                      <w:vertAlign w:val="baseline"/>
                      <w:lang w:val="en-US" w:eastAsia="zh-CN"/>
                    </w:rPr>
                  </w:pPr>
                  <w:r>
                    <w:rPr>
                      <w:rFonts w:hint="eastAsia" w:ascii="Times New Roman" w:hAnsi="Times New Roman" w:eastAsia="宋体" w:cs="Times New Roman"/>
                      <w:b w:val="0"/>
                      <w:bCs w:val="0"/>
                      <w:color w:val="0000FF"/>
                      <w:sz w:val="21"/>
                      <w:szCs w:val="21"/>
                      <w:highlight w:val="none"/>
                      <w:vertAlign w:val="baseline"/>
                      <w:lang w:val="en-US" w:eastAsia="zh-CN"/>
                    </w:rPr>
                    <w:t>4</w:t>
                  </w:r>
                </w:p>
              </w:tc>
              <w:tc>
                <w:tcPr>
                  <w:tcW w:w="593" w:type="pct"/>
                  <w:noWrap w:val="0"/>
                  <w:vAlign w:val="center"/>
                </w:tcPr>
                <w:p w14:paraId="5CB9CF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FF"/>
                      <w:sz w:val="21"/>
                      <w:szCs w:val="21"/>
                      <w:highlight w:val="none"/>
                      <w:vertAlign w:val="baseline"/>
                      <w:lang w:eastAsia="zh-CN"/>
                    </w:rPr>
                  </w:pPr>
                  <w:r>
                    <w:rPr>
                      <w:rFonts w:hint="default" w:ascii="Times New Roman" w:hAnsi="Times New Roman" w:cs="Times New Roman"/>
                      <w:b w:val="0"/>
                      <w:bCs w:val="0"/>
                      <w:color w:val="0000FF"/>
                      <w:sz w:val="21"/>
                      <w:szCs w:val="21"/>
                      <w:highlight w:val="none"/>
                      <w:vertAlign w:val="baseline"/>
                      <w:lang w:eastAsia="zh-CN"/>
                    </w:rPr>
                    <w:t>套</w:t>
                  </w:r>
                </w:p>
              </w:tc>
              <w:tc>
                <w:tcPr>
                  <w:tcW w:w="1040" w:type="pct"/>
                  <w:noWrap w:val="0"/>
                  <w:vAlign w:val="center"/>
                </w:tcPr>
                <w:p w14:paraId="5B630A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FF"/>
                      <w:sz w:val="21"/>
                      <w:szCs w:val="21"/>
                      <w:highlight w:val="none"/>
                      <w:vertAlign w:val="baseline"/>
                      <w:lang w:val="en-US" w:eastAsia="zh-CN"/>
                    </w:rPr>
                  </w:pPr>
                  <w:r>
                    <w:rPr>
                      <w:rFonts w:hint="default" w:ascii="Times New Roman" w:hAnsi="Times New Roman" w:cs="Times New Roman"/>
                      <w:b w:val="0"/>
                      <w:bCs w:val="0"/>
                      <w:color w:val="0000FF"/>
                      <w:sz w:val="21"/>
                      <w:szCs w:val="21"/>
                      <w:highlight w:val="none"/>
                      <w:vertAlign w:val="baseline"/>
                      <w:lang w:val="en-US" w:eastAsia="zh-CN"/>
                    </w:rPr>
                    <w:t>65</w:t>
                  </w:r>
                </w:p>
              </w:tc>
            </w:tr>
            <w:tr w14:paraId="03331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noWrap w:val="0"/>
                  <w:vAlign w:val="center"/>
                </w:tcPr>
                <w:p w14:paraId="37704D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FF"/>
                      <w:sz w:val="21"/>
                      <w:szCs w:val="21"/>
                      <w:highlight w:val="none"/>
                      <w:vertAlign w:val="baseline"/>
                      <w:lang w:val="en-US" w:eastAsia="zh-CN"/>
                    </w:rPr>
                  </w:pPr>
                  <w:bookmarkStart w:id="23" w:name="OLE_LINK8"/>
                  <w:r>
                    <w:rPr>
                      <w:rFonts w:hint="eastAsia" w:ascii="Times New Roman" w:hAnsi="Times New Roman" w:cs="Times New Roman"/>
                      <w:b w:val="0"/>
                      <w:bCs w:val="0"/>
                      <w:color w:val="0000FF"/>
                      <w:sz w:val="21"/>
                      <w:szCs w:val="21"/>
                      <w:highlight w:val="none"/>
                      <w:vertAlign w:val="baseline"/>
                      <w:lang w:val="en-US" w:eastAsia="zh-CN"/>
                    </w:rPr>
                    <w:t>3</w:t>
                  </w:r>
                </w:p>
              </w:tc>
              <w:tc>
                <w:tcPr>
                  <w:tcW w:w="1733" w:type="pct"/>
                  <w:noWrap w:val="0"/>
                  <w:vAlign w:val="center"/>
                </w:tcPr>
                <w:p w14:paraId="2B275A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FF"/>
                      <w:sz w:val="21"/>
                      <w:szCs w:val="21"/>
                      <w:highlight w:val="none"/>
                      <w:vertAlign w:val="baseline"/>
                      <w:lang w:val="en-US" w:eastAsia="zh-CN"/>
                    </w:rPr>
                  </w:pPr>
                  <w:r>
                    <w:rPr>
                      <w:rFonts w:hint="default" w:ascii="Times New Roman" w:hAnsi="Times New Roman" w:cs="Times New Roman"/>
                      <w:b w:val="0"/>
                      <w:bCs w:val="0"/>
                      <w:color w:val="0000FF"/>
                      <w:sz w:val="21"/>
                      <w:szCs w:val="21"/>
                      <w:highlight w:val="none"/>
                      <w:vertAlign w:val="baseline"/>
                      <w:lang w:val="en-US" w:eastAsia="zh-CN"/>
                    </w:rPr>
                    <w:t>储能电池舱工业级空调</w:t>
                  </w:r>
                </w:p>
              </w:tc>
              <w:tc>
                <w:tcPr>
                  <w:tcW w:w="1114" w:type="pct"/>
                  <w:noWrap w:val="0"/>
                  <w:vAlign w:val="center"/>
                </w:tcPr>
                <w:p w14:paraId="75D26A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FF"/>
                      <w:sz w:val="21"/>
                      <w:szCs w:val="21"/>
                      <w:highlight w:val="none"/>
                      <w:vertAlign w:val="baseline"/>
                      <w:lang w:val="en-US" w:eastAsia="zh-CN"/>
                    </w:rPr>
                  </w:pPr>
                  <w:r>
                    <w:rPr>
                      <w:rFonts w:hint="eastAsia" w:ascii="Times New Roman" w:hAnsi="Times New Roman" w:eastAsia="宋体" w:cs="Times New Roman"/>
                      <w:b w:val="0"/>
                      <w:bCs w:val="0"/>
                      <w:color w:val="0000FF"/>
                      <w:sz w:val="21"/>
                      <w:szCs w:val="21"/>
                      <w:highlight w:val="none"/>
                      <w:vertAlign w:val="baseline"/>
                      <w:lang w:val="en-US" w:eastAsia="zh-CN"/>
                    </w:rPr>
                    <w:t>4</w:t>
                  </w:r>
                </w:p>
              </w:tc>
              <w:tc>
                <w:tcPr>
                  <w:tcW w:w="593" w:type="pct"/>
                  <w:noWrap w:val="0"/>
                  <w:vAlign w:val="center"/>
                </w:tcPr>
                <w:p w14:paraId="3697B5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FF"/>
                      <w:sz w:val="21"/>
                      <w:szCs w:val="21"/>
                      <w:highlight w:val="none"/>
                      <w:vertAlign w:val="baseline"/>
                      <w:lang w:eastAsia="zh-CN"/>
                    </w:rPr>
                  </w:pPr>
                  <w:r>
                    <w:rPr>
                      <w:rFonts w:hint="eastAsia" w:ascii="Times New Roman" w:hAnsi="Times New Roman" w:cs="Times New Roman"/>
                      <w:b w:val="0"/>
                      <w:bCs w:val="0"/>
                      <w:color w:val="0000FF"/>
                      <w:sz w:val="21"/>
                      <w:szCs w:val="21"/>
                      <w:highlight w:val="none"/>
                      <w:vertAlign w:val="baseline"/>
                      <w:lang w:eastAsia="zh-CN"/>
                    </w:rPr>
                    <w:t>座</w:t>
                  </w:r>
                </w:p>
              </w:tc>
              <w:tc>
                <w:tcPr>
                  <w:tcW w:w="1040" w:type="pct"/>
                  <w:noWrap w:val="0"/>
                  <w:vAlign w:val="center"/>
                </w:tcPr>
                <w:p w14:paraId="12DD32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FF"/>
                      <w:sz w:val="21"/>
                      <w:szCs w:val="21"/>
                      <w:highlight w:val="none"/>
                      <w:vertAlign w:val="baseline"/>
                      <w:lang w:val="en-US" w:eastAsia="zh-CN"/>
                    </w:rPr>
                  </w:pPr>
                  <w:r>
                    <w:rPr>
                      <w:rFonts w:hint="eastAsia" w:ascii="Times New Roman" w:hAnsi="Times New Roman" w:cs="Times New Roman"/>
                      <w:b w:val="0"/>
                      <w:bCs w:val="0"/>
                      <w:color w:val="0000FF"/>
                      <w:sz w:val="21"/>
                      <w:szCs w:val="21"/>
                      <w:highlight w:val="none"/>
                      <w:vertAlign w:val="baseline"/>
                      <w:lang w:val="en-US" w:eastAsia="zh-CN"/>
                    </w:rPr>
                    <w:t>75</w:t>
                  </w:r>
                </w:p>
              </w:tc>
            </w:tr>
          </w:tbl>
          <w:p w14:paraId="0F7E974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FF"/>
                <w:sz w:val="24"/>
                <w:szCs w:val="24"/>
              </w:rPr>
            </w:pPr>
            <w:r>
              <w:rPr>
                <w:rFonts w:hint="eastAsia"/>
                <w:color w:val="0000FF"/>
                <w:sz w:val="24"/>
                <w:szCs w:val="24"/>
              </w:rPr>
              <w:t>（2）评价标准</w:t>
            </w:r>
          </w:p>
          <w:p w14:paraId="09BEF1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FF"/>
                <w:sz w:val="24"/>
                <w:szCs w:val="24"/>
              </w:rPr>
            </w:pPr>
            <w:r>
              <w:rPr>
                <w:rFonts w:hint="eastAsia"/>
                <w:color w:val="0000FF"/>
                <w:sz w:val="24"/>
                <w:szCs w:val="24"/>
              </w:rPr>
              <w:t>项目厂界执行《工业企业厂界环境噪声排放标准》（GB12348-2008）的3类标准，即昼间≤65dB（A），夜间≤55dB（A）。</w:t>
            </w:r>
          </w:p>
          <w:p w14:paraId="5D4F24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FF"/>
                <w:sz w:val="24"/>
                <w:szCs w:val="24"/>
              </w:rPr>
            </w:pPr>
            <w:r>
              <w:rPr>
                <w:rFonts w:hint="eastAsia"/>
                <w:color w:val="0000FF"/>
                <w:sz w:val="24"/>
                <w:szCs w:val="24"/>
              </w:rPr>
              <w:t>（3）预测模式</w:t>
            </w:r>
          </w:p>
          <w:p w14:paraId="34C1DD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FF"/>
                <w:sz w:val="24"/>
                <w:szCs w:val="24"/>
              </w:rPr>
            </w:pPr>
            <w:r>
              <w:rPr>
                <w:rFonts w:hint="eastAsia"/>
                <w:color w:val="0000FF"/>
                <w:sz w:val="24"/>
                <w:szCs w:val="24"/>
              </w:rPr>
              <w:t>本次声环境影响预测拟根据项目主要噪声源对储能站厂界各监测点进行噪声影响预测，评价其影响程度。</w:t>
            </w:r>
          </w:p>
          <w:p w14:paraId="4F94C0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FF"/>
                <w:sz w:val="24"/>
                <w:szCs w:val="24"/>
              </w:rPr>
            </w:pPr>
            <w:r>
              <w:rPr>
                <w:rFonts w:hint="eastAsia"/>
                <w:color w:val="0000FF"/>
                <w:sz w:val="24"/>
                <w:szCs w:val="24"/>
              </w:rPr>
              <w:t>①单个室外的点声源在预测点产生的声级计算基本公式采用《环境影响评价技术导则-声环境》（HJ2.4-2021）中的噪声预测计算模式。</w:t>
            </w:r>
          </w:p>
          <w:p w14:paraId="06FB44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FF"/>
                <w:sz w:val="24"/>
                <w:szCs w:val="24"/>
              </w:rPr>
            </w:pPr>
            <w:r>
              <w:rPr>
                <w:color w:val="0000FF"/>
                <w:sz w:val="24"/>
                <w:szCs w:val="24"/>
              </w:rPr>
              <w:drawing>
                <wp:inline distT="0" distB="0" distL="114300" distR="114300">
                  <wp:extent cx="3419475" cy="304800"/>
                  <wp:effectExtent l="0" t="0" r="9525" b="0"/>
                  <wp:docPr id="4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pic:cNvPicPr>
                            <a:picLocks noChangeAspect="1"/>
                          </pic:cNvPicPr>
                        </pic:nvPicPr>
                        <pic:blipFill>
                          <a:blip r:embed="rId20"/>
                          <a:stretch>
                            <a:fillRect/>
                          </a:stretch>
                        </pic:blipFill>
                        <pic:spPr>
                          <a:xfrm>
                            <a:off x="0" y="0"/>
                            <a:ext cx="3419475" cy="304800"/>
                          </a:xfrm>
                          <a:prstGeom prst="rect">
                            <a:avLst/>
                          </a:prstGeom>
                          <a:noFill/>
                          <a:ln>
                            <a:noFill/>
                          </a:ln>
                        </pic:spPr>
                      </pic:pic>
                    </a:graphicData>
                  </a:graphic>
                </wp:inline>
              </w:drawing>
            </w:r>
          </w:p>
          <w:p w14:paraId="2BEF7B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FF"/>
                <w:sz w:val="24"/>
                <w:szCs w:val="24"/>
              </w:rPr>
            </w:pPr>
            <w:r>
              <w:rPr>
                <w:rFonts w:hint="eastAsia"/>
                <w:color w:val="0000FF"/>
                <w:sz w:val="24"/>
                <w:szCs w:val="24"/>
              </w:rPr>
              <w:t>式中：LA(r)——点声源在预测点产生的A声级，dB（A）；</w:t>
            </w:r>
          </w:p>
          <w:p w14:paraId="2CAED3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FF"/>
                <w:sz w:val="24"/>
                <w:szCs w:val="24"/>
              </w:rPr>
            </w:pPr>
            <w:r>
              <w:rPr>
                <w:rFonts w:hint="eastAsia"/>
                <w:color w:val="0000FF"/>
                <w:sz w:val="24"/>
                <w:szCs w:val="24"/>
              </w:rPr>
              <w:t>LA(r0)——参考位置r0处的A声级，dB（A）；</w:t>
            </w:r>
          </w:p>
          <w:p w14:paraId="73E7C9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FF"/>
                <w:sz w:val="24"/>
                <w:szCs w:val="24"/>
              </w:rPr>
            </w:pPr>
            <w:r>
              <w:rPr>
                <w:rFonts w:hint="eastAsia"/>
                <w:color w:val="0000FF"/>
                <w:sz w:val="24"/>
                <w:szCs w:val="24"/>
              </w:rPr>
              <w:t>DC——指向性校正，dB</w:t>
            </w:r>
          </w:p>
          <w:p w14:paraId="48556F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FF"/>
                <w:sz w:val="24"/>
                <w:szCs w:val="24"/>
              </w:rPr>
            </w:pPr>
            <w:r>
              <w:rPr>
                <w:rFonts w:hint="eastAsia"/>
                <w:color w:val="0000FF"/>
                <w:sz w:val="24"/>
                <w:szCs w:val="24"/>
              </w:rPr>
              <w:t>r——预测点距声源的距离，m；</w:t>
            </w:r>
          </w:p>
          <w:p w14:paraId="0787D4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FF"/>
                <w:sz w:val="24"/>
                <w:szCs w:val="24"/>
              </w:rPr>
            </w:pPr>
            <w:r>
              <w:rPr>
                <w:rFonts w:hint="eastAsia"/>
                <w:color w:val="0000FF"/>
                <w:sz w:val="24"/>
                <w:szCs w:val="24"/>
              </w:rPr>
              <w:t>r0——参考位置距声源的距离，m；</w:t>
            </w:r>
          </w:p>
          <w:p w14:paraId="44AAEF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FF"/>
                <w:sz w:val="24"/>
                <w:szCs w:val="24"/>
              </w:rPr>
            </w:pPr>
            <w:r>
              <w:rPr>
                <w:rFonts w:hint="eastAsia"/>
                <w:color w:val="0000FF"/>
                <w:sz w:val="24"/>
                <w:szCs w:val="24"/>
              </w:rPr>
              <w:t>A——可选择对A声级影响最大的倍频带计算，一般可选中心频率为</w:t>
            </w:r>
          </w:p>
          <w:p w14:paraId="7945C8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FF"/>
                <w:sz w:val="24"/>
                <w:szCs w:val="24"/>
              </w:rPr>
            </w:pPr>
            <w:r>
              <w:rPr>
                <w:rFonts w:hint="eastAsia"/>
                <w:color w:val="0000FF"/>
                <w:sz w:val="24"/>
                <w:szCs w:val="24"/>
              </w:rPr>
              <w:t>500Hz的倍频带做估算，dB；</w:t>
            </w:r>
          </w:p>
          <w:p w14:paraId="284392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FF"/>
                <w:sz w:val="24"/>
                <w:szCs w:val="24"/>
              </w:rPr>
            </w:pPr>
            <w:r>
              <w:rPr>
                <w:color w:val="0000FF"/>
                <w:sz w:val="24"/>
                <w:szCs w:val="24"/>
              </w:rPr>
              <w:drawing>
                <wp:inline distT="0" distB="0" distL="114300" distR="114300">
                  <wp:extent cx="4124325" cy="295275"/>
                  <wp:effectExtent l="0" t="0" r="9525" b="9525"/>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21"/>
                          <a:stretch>
                            <a:fillRect/>
                          </a:stretch>
                        </pic:blipFill>
                        <pic:spPr>
                          <a:xfrm>
                            <a:off x="0" y="0"/>
                            <a:ext cx="4124325" cy="295275"/>
                          </a:xfrm>
                          <a:prstGeom prst="rect">
                            <a:avLst/>
                          </a:prstGeom>
                          <a:noFill/>
                          <a:ln>
                            <a:noFill/>
                          </a:ln>
                        </pic:spPr>
                      </pic:pic>
                    </a:graphicData>
                  </a:graphic>
                </wp:inline>
              </w:drawing>
            </w:r>
          </w:p>
          <w:p w14:paraId="0E8C4D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FF"/>
                <w:sz w:val="24"/>
                <w:szCs w:val="24"/>
              </w:rPr>
            </w:pPr>
            <w:r>
              <w:rPr>
                <w:rFonts w:hint="eastAsia"/>
                <w:color w:val="0000FF"/>
                <w:sz w:val="24"/>
                <w:szCs w:val="24"/>
              </w:rPr>
              <w:t>Adiv——几何发散引起的倍频带衰减，dB；</w:t>
            </w:r>
          </w:p>
          <w:p w14:paraId="4BB28C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FF"/>
                <w:sz w:val="24"/>
                <w:szCs w:val="24"/>
              </w:rPr>
            </w:pPr>
            <w:r>
              <w:rPr>
                <w:rFonts w:hint="eastAsia"/>
                <w:color w:val="0000FF"/>
                <w:sz w:val="24"/>
                <w:szCs w:val="24"/>
              </w:rPr>
              <w:t>Aatm——大气吸收引起的倍频带衰减，dB；</w:t>
            </w:r>
          </w:p>
          <w:p w14:paraId="776C98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FF"/>
                <w:sz w:val="24"/>
                <w:szCs w:val="24"/>
              </w:rPr>
            </w:pPr>
            <w:r>
              <w:rPr>
                <w:rFonts w:hint="eastAsia"/>
                <w:color w:val="0000FF"/>
                <w:sz w:val="24"/>
                <w:szCs w:val="24"/>
              </w:rPr>
              <w:t>Agr——地面效应引起的倍频带衰减，dB；</w:t>
            </w:r>
          </w:p>
          <w:p w14:paraId="0E5506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FF"/>
                <w:sz w:val="24"/>
                <w:szCs w:val="24"/>
              </w:rPr>
            </w:pPr>
            <w:r>
              <w:rPr>
                <w:rFonts w:hint="eastAsia"/>
                <w:color w:val="0000FF"/>
                <w:sz w:val="24"/>
                <w:szCs w:val="24"/>
              </w:rPr>
              <w:t>Abar——声屏障引起的倍频带衰减，dB；</w:t>
            </w:r>
          </w:p>
          <w:p w14:paraId="62E99F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FF"/>
                <w:sz w:val="24"/>
                <w:szCs w:val="24"/>
              </w:rPr>
            </w:pPr>
            <w:r>
              <w:rPr>
                <w:rFonts w:hint="eastAsia"/>
                <w:color w:val="0000FF"/>
                <w:sz w:val="24"/>
                <w:szCs w:val="24"/>
              </w:rPr>
              <w:t>Amisc——其他多方面效应引起的倍频带衰减，dB；</w:t>
            </w:r>
          </w:p>
          <w:p w14:paraId="37C3E5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FF"/>
                <w:sz w:val="24"/>
                <w:szCs w:val="24"/>
              </w:rPr>
            </w:pPr>
            <w:r>
              <w:rPr>
                <w:rFonts w:hint="eastAsia"/>
                <w:color w:val="0000FF"/>
                <w:sz w:val="24"/>
                <w:szCs w:val="24"/>
              </w:rPr>
              <w:t>②声级的计算</w:t>
            </w:r>
          </w:p>
          <w:p w14:paraId="6C596A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FF"/>
                <w:sz w:val="24"/>
                <w:szCs w:val="24"/>
              </w:rPr>
            </w:pPr>
            <w:r>
              <w:rPr>
                <w:rFonts w:hint="eastAsia"/>
                <w:color w:val="0000FF"/>
                <w:sz w:val="24"/>
                <w:szCs w:val="24"/>
              </w:rPr>
              <w:t>根据已获得的声源源强的数据和各声源到预测点的声波传播条件资料，计算出噪声源传播到预测点的声衰减量，由此计算出各声源单独作用在预测点时产生的A声级（LAi）等效噪声级（Leqz）。建设项目声源在预测点产生的等效声级贡献值（Leqg）计算公式：</w:t>
            </w:r>
          </w:p>
          <w:p w14:paraId="197481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FF"/>
                <w:sz w:val="24"/>
                <w:szCs w:val="24"/>
              </w:rPr>
            </w:pPr>
            <w:r>
              <w:rPr>
                <w:color w:val="0000FF"/>
                <w:sz w:val="24"/>
                <w:szCs w:val="24"/>
              </w:rPr>
              <w:drawing>
                <wp:inline distT="0" distB="0" distL="114300" distR="114300">
                  <wp:extent cx="3438525" cy="742950"/>
                  <wp:effectExtent l="0" t="0" r="9525" b="0"/>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22"/>
                          <a:stretch>
                            <a:fillRect/>
                          </a:stretch>
                        </pic:blipFill>
                        <pic:spPr>
                          <a:xfrm>
                            <a:off x="0" y="0"/>
                            <a:ext cx="3438525" cy="742950"/>
                          </a:xfrm>
                          <a:prstGeom prst="rect">
                            <a:avLst/>
                          </a:prstGeom>
                          <a:noFill/>
                          <a:ln>
                            <a:noFill/>
                          </a:ln>
                        </pic:spPr>
                      </pic:pic>
                    </a:graphicData>
                  </a:graphic>
                </wp:inline>
              </w:drawing>
            </w:r>
          </w:p>
          <w:p w14:paraId="116689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FF"/>
                <w:sz w:val="24"/>
                <w:szCs w:val="24"/>
              </w:rPr>
            </w:pPr>
            <w:r>
              <w:rPr>
                <w:rFonts w:hint="eastAsia"/>
                <w:color w:val="0000FF"/>
                <w:sz w:val="24"/>
                <w:szCs w:val="24"/>
              </w:rPr>
              <w:t>式中：</w:t>
            </w:r>
          </w:p>
          <w:p w14:paraId="6F3C8DB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FF"/>
                <w:sz w:val="24"/>
                <w:szCs w:val="24"/>
              </w:rPr>
            </w:pPr>
            <w:r>
              <w:rPr>
                <w:rFonts w:hint="eastAsia"/>
                <w:color w:val="0000FF"/>
                <w:sz w:val="24"/>
                <w:szCs w:val="24"/>
              </w:rPr>
              <w:t>Leqg——建设项目声源在预测点的等效声级贡献值，dB(A)；</w:t>
            </w:r>
          </w:p>
          <w:p w14:paraId="2186F81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FF"/>
                <w:sz w:val="24"/>
                <w:szCs w:val="24"/>
              </w:rPr>
            </w:pPr>
            <w:r>
              <w:rPr>
                <w:rFonts w:hint="eastAsia"/>
                <w:color w:val="0000FF"/>
                <w:sz w:val="24"/>
                <w:szCs w:val="24"/>
              </w:rPr>
              <w:t>LAi——声源在预测点产生的A声级，dB(A)；</w:t>
            </w:r>
          </w:p>
          <w:p w14:paraId="5F9A06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FF"/>
                <w:sz w:val="24"/>
                <w:szCs w:val="24"/>
              </w:rPr>
            </w:pPr>
            <w:r>
              <w:rPr>
                <w:rFonts w:hint="eastAsia"/>
                <w:color w:val="0000FF"/>
                <w:sz w:val="24"/>
                <w:szCs w:val="24"/>
              </w:rPr>
              <w:t>T——预测计算的时间段，s；</w:t>
            </w:r>
          </w:p>
          <w:p w14:paraId="222196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FF"/>
                <w:sz w:val="24"/>
                <w:szCs w:val="24"/>
              </w:rPr>
            </w:pPr>
            <w:r>
              <w:rPr>
                <w:rFonts w:hint="eastAsia"/>
                <w:color w:val="0000FF"/>
                <w:sz w:val="24"/>
                <w:szCs w:val="24"/>
              </w:rPr>
              <w:t>ti—一i声源在T时段内的运行时间，s。</w:t>
            </w:r>
          </w:p>
          <w:p w14:paraId="72AEBF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FF"/>
                <w:sz w:val="24"/>
                <w:szCs w:val="24"/>
              </w:rPr>
            </w:pPr>
            <w:r>
              <w:rPr>
                <w:rFonts w:hint="eastAsia"/>
                <w:color w:val="0000FF"/>
                <w:sz w:val="24"/>
                <w:szCs w:val="24"/>
              </w:rPr>
              <w:t>（4）噪声环境影响预测评价</w:t>
            </w:r>
          </w:p>
          <w:p w14:paraId="4B2F62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FF"/>
                <w:sz w:val="24"/>
                <w:szCs w:val="24"/>
              </w:rPr>
            </w:pPr>
            <w:r>
              <w:rPr>
                <w:rFonts w:hint="eastAsia"/>
                <w:color w:val="0000FF"/>
                <w:sz w:val="24"/>
                <w:szCs w:val="24"/>
              </w:rPr>
              <w:t>项目厂界噪声预测结果见表4-</w:t>
            </w:r>
            <w:r>
              <w:rPr>
                <w:rFonts w:hint="eastAsia"/>
                <w:color w:val="0000FF"/>
                <w:sz w:val="24"/>
                <w:szCs w:val="24"/>
                <w:lang w:val="en-US" w:eastAsia="zh-CN"/>
              </w:rPr>
              <w:t>3</w:t>
            </w:r>
            <w:r>
              <w:rPr>
                <w:rFonts w:hint="eastAsia"/>
                <w:color w:val="0000FF"/>
                <w:sz w:val="24"/>
                <w:szCs w:val="24"/>
              </w:rPr>
              <w:t>。</w:t>
            </w:r>
          </w:p>
          <w:bookmarkEnd w:id="23"/>
          <w:p w14:paraId="64A51341">
            <w:pPr>
              <w:pStyle w:val="8"/>
              <w:keepNext w:val="0"/>
              <w:keepLines w:val="0"/>
              <w:pageBreakBefore w:val="0"/>
              <w:widowControl w:val="0"/>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b/>
                <w:bCs/>
                <w:color w:val="0000FF"/>
                <w:sz w:val="21"/>
                <w:szCs w:val="21"/>
                <w:highlight w:val="none"/>
                <w:lang w:val="en-US" w:eastAsia="zh-CN"/>
              </w:rPr>
            </w:pPr>
            <w:r>
              <w:rPr>
                <w:rFonts w:hint="default" w:ascii="Times New Roman" w:hAnsi="Times New Roman" w:cs="Times New Roman"/>
                <w:b/>
                <w:bCs/>
                <w:color w:val="0000FF"/>
                <w:sz w:val="21"/>
                <w:szCs w:val="21"/>
                <w:highlight w:val="none"/>
                <w:lang w:val="en-US" w:eastAsia="zh-CN"/>
              </w:rPr>
              <w:t>表4-</w:t>
            </w:r>
            <w:r>
              <w:rPr>
                <w:rFonts w:hint="eastAsia" w:cs="Times New Roman"/>
                <w:b/>
                <w:bCs/>
                <w:color w:val="0000FF"/>
                <w:sz w:val="21"/>
                <w:szCs w:val="21"/>
                <w:highlight w:val="none"/>
                <w:lang w:val="en-US" w:eastAsia="zh-CN"/>
              </w:rPr>
              <w:t>3</w:t>
            </w:r>
            <w:r>
              <w:rPr>
                <w:rFonts w:hint="default" w:ascii="Times New Roman" w:hAnsi="Times New Roman" w:cs="Times New Roman"/>
                <w:b/>
                <w:bCs/>
                <w:color w:val="0000FF"/>
                <w:sz w:val="21"/>
                <w:szCs w:val="21"/>
                <w:highlight w:val="none"/>
                <w:lang w:val="en-US" w:eastAsia="zh-CN"/>
              </w:rPr>
              <w:t xml:space="preserve">     厂界噪声贡献值情况表          单</w:t>
            </w:r>
            <w:r>
              <w:rPr>
                <w:rFonts w:hint="default" w:ascii="Times New Roman" w:hAnsi="Times New Roman" w:eastAsia="宋体" w:cs="Times New Roman"/>
                <w:b/>
                <w:bCs/>
                <w:color w:val="0000FF"/>
                <w:sz w:val="21"/>
                <w:szCs w:val="21"/>
                <w:highlight w:val="none"/>
                <w:lang w:val="en-US" w:eastAsia="zh-CN"/>
              </w:rPr>
              <w:t>位：dB(A)</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1555"/>
              <w:gridCol w:w="1254"/>
              <w:gridCol w:w="791"/>
              <w:gridCol w:w="737"/>
              <w:gridCol w:w="831"/>
              <w:gridCol w:w="1210"/>
            </w:tblGrid>
            <w:tr w14:paraId="70731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900" w:type="pct"/>
                  <w:gridSpan w:val="2"/>
                  <w:vMerge w:val="restart"/>
                  <w:tcBorders>
                    <w:right w:val="single" w:color="auto" w:sz="4" w:space="0"/>
                    <w:tl2br w:val="nil"/>
                    <w:tr2bl w:val="nil"/>
                  </w:tcBorders>
                  <w:noWrap w:val="0"/>
                  <w:vAlign w:val="center"/>
                </w:tcPr>
                <w:p w14:paraId="2D457062">
                  <w:pPr>
                    <w:pStyle w:val="3"/>
                    <w:keepNext w:val="0"/>
                    <w:keepLines w:val="0"/>
                    <w:pageBreakBefore w:val="0"/>
                    <w:widowControl w:val="0"/>
                    <w:numPr>
                      <w:ilvl w:val="0"/>
                      <w:numId w:val="0"/>
                    </w:numPr>
                    <w:kinsoku/>
                    <w:wordWrap/>
                    <w:overflowPunct/>
                    <w:topLinePunct w:val="0"/>
                    <w:autoSpaceDE/>
                    <w:autoSpaceDN/>
                    <w:bidi w:val="0"/>
                    <w:adjustRightInd/>
                    <w:snapToGrid w:val="0"/>
                    <w:spacing w:before="0" w:beforeLines="0" w:after="0" w:afterLines="0" w:line="240" w:lineRule="auto"/>
                    <w:ind w:left="0" w:leftChars="0" w:firstLine="0" w:firstLineChars="0"/>
                    <w:jc w:val="center"/>
                    <w:textAlignment w:val="auto"/>
                    <w:rPr>
                      <w:rFonts w:hint="default" w:ascii="Times New Roman" w:hAnsi="Times New Roman" w:eastAsia="黑体" w:cs="Times New Roman"/>
                      <w:b w:val="0"/>
                      <w:color w:val="0000FF"/>
                      <w:kern w:val="0"/>
                      <w:sz w:val="21"/>
                      <w:szCs w:val="21"/>
                      <w:highlight w:val="none"/>
                      <w:lang w:eastAsia="zh-CN"/>
                    </w:rPr>
                  </w:pPr>
                  <w:bookmarkStart w:id="24" w:name="OLE_LINK11"/>
                  <w:bookmarkStart w:id="25" w:name="_Toc29744"/>
                  <w:bookmarkStart w:id="26" w:name="OLE_LINK3" w:colFirst="0" w:colLast="0"/>
                  <w:r>
                    <w:rPr>
                      <w:rFonts w:hint="default" w:ascii="Times New Roman" w:hAnsi="Times New Roman" w:eastAsia="宋体" w:cs="Times New Roman"/>
                      <w:b w:val="0"/>
                      <w:color w:val="0000FF"/>
                      <w:kern w:val="0"/>
                      <w:sz w:val="21"/>
                      <w:szCs w:val="21"/>
                      <w:highlight w:val="none"/>
                      <w:lang w:val="en-US" w:eastAsia="zh-CN"/>
                    </w:rPr>
                    <w:t>位置</w:t>
                  </w:r>
                  <w:bookmarkEnd w:id="24"/>
                  <w:bookmarkEnd w:id="25"/>
                </w:p>
              </w:tc>
              <w:tc>
                <w:tcPr>
                  <w:tcW w:w="1314" w:type="pct"/>
                  <w:gridSpan w:val="2"/>
                  <w:tcBorders>
                    <w:left w:val="single" w:color="auto" w:sz="4" w:space="0"/>
                    <w:bottom w:val="single" w:color="auto" w:sz="4" w:space="0"/>
                    <w:right w:val="single" w:color="auto" w:sz="4" w:space="0"/>
                    <w:tl2br w:val="nil"/>
                    <w:tr2bl w:val="nil"/>
                  </w:tcBorders>
                  <w:noWrap w:val="0"/>
                  <w:vAlign w:val="center"/>
                </w:tcPr>
                <w:p w14:paraId="1A85A65A">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cs="Times New Roman"/>
                      <w:color w:val="0000FF"/>
                      <w:kern w:val="0"/>
                      <w:sz w:val="21"/>
                      <w:szCs w:val="21"/>
                      <w:highlight w:val="none"/>
                    </w:rPr>
                  </w:pPr>
                  <w:r>
                    <w:rPr>
                      <w:rFonts w:hint="eastAsia" w:cs="Times New Roman"/>
                      <w:color w:val="0000FF"/>
                      <w:kern w:val="0"/>
                      <w:sz w:val="21"/>
                      <w:szCs w:val="21"/>
                      <w:highlight w:val="none"/>
                      <w:lang w:eastAsia="zh-CN"/>
                    </w:rPr>
                    <w:t>最大</w:t>
                  </w:r>
                  <w:r>
                    <w:rPr>
                      <w:rFonts w:hint="default" w:ascii="Times New Roman" w:hAnsi="Times New Roman" w:cs="Times New Roman"/>
                      <w:color w:val="0000FF"/>
                      <w:kern w:val="0"/>
                      <w:sz w:val="21"/>
                      <w:szCs w:val="21"/>
                      <w:highlight w:val="none"/>
                    </w:rPr>
                    <w:t>贡献值</w:t>
                  </w:r>
                </w:p>
              </w:tc>
              <w:tc>
                <w:tcPr>
                  <w:tcW w:w="1007" w:type="pct"/>
                  <w:gridSpan w:val="2"/>
                  <w:tcBorders>
                    <w:left w:val="single" w:color="auto" w:sz="4" w:space="0"/>
                    <w:bottom w:val="single" w:color="auto" w:sz="4" w:space="0"/>
                    <w:tl2br w:val="nil"/>
                    <w:tr2bl w:val="nil"/>
                  </w:tcBorders>
                  <w:noWrap w:val="0"/>
                  <w:vAlign w:val="center"/>
                </w:tcPr>
                <w:p w14:paraId="5726DF45">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cs="Times New Roman"/>
                      <w:color w:val="0000FF"/>
                      <w:kern w:val="0"/>
                      <w:sz w:val="21"/>
                      <w:szCs w:val="21"/>
                      <w:highlight w:val="none"/>
                    </w:rPr>
                  </w:pPr>
                  <w:r>
                    <w:rPr>
                      <w:rFonts w:hint="default" w:ascii="Times New Roman" w:hAnsi="Times New Roman" w:cs="Times New Roman"/>
                      <w:color w:val="0000FF"/>
                      <w:kern w:val="0"/>
                      <w:sz w:val="21"/>
                      <w:szCs w:val="21"/>
                      <w:highlight w:val="none"/>
                    </w:rPr>
                    <w:t>达标情况</w:t>
                  </w:r>
                </w:p>
              </w:tc>
              <w:tc>
                <w:tcPr>
                  <w:tcW w:w="777" w:type="pct"/>
                  <w:tcBorders>
                    <w:left w:val="single" w:color="auto" w:sz="4" w:space="0"/>
                    <w:bottom w:val="single" w:color="auto" w:sz="4" w:space="0"/>
                    <w:tl2br w:val="nil"/>
                    <w:tr2bl w:val="nil"/>
                  </w:tcBorders>
                  <w:noWrap w:val="0"/>
                  <w:vAlign w:val="center"/>
                </w:tcPr>
                <w:p w14:paraId="0EC6CFA2">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eastAsia" w:ascii="Times New Roman" w:hAnsi="Times New Roman" w:eastAsia="仿宋" w:cs="Times New Roman"/>
                      <w:color w:val="0000FF"/>
                      <w:kern w:val="0"/>
                      <w:sz w:val="21"/>
                      <w:szCs w:val="21"/>
                      <w:highlight w:val="none"/>
                      <w:lang w:eastAsia="zh-CN"/>
                    </w:rPr>
                  </w:pPr>
                  <w:r>
                    <w:rPr>
                      <w:rFonts w:hint="eastAsia" w:cs="Times New Roman"/>
                      <w:color w:val="0000FF"/>
                      <w:kern w:val="0"/>
                      <w:sz w:val="21"/>
                      <w:szCs w:val="21"/>
                      <w:highlight w:val="none"/>
                      <w:lang w:eastAsia="zh-CN"/>
                    </w:rPr>
                    <w:t>超标量</w:t>
                  </w:r>
                </w:p>
              </w:tc>
            </w:tr>
            <w:tr w14:paraId="5594F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900" w:type="pct"/>
                  <w:gridSpan w:val="2"/>
                  <w:vMerge w:val="continue"/>
                  <w:tcBorders>
                    <w:bottom w:val="single" w:color="auto" w:sz="4" w:space="0"/>
                    <w:right w:val="single" w:color="auto" w:sz="4" w:space="0"/>
                    <w:tl2br w:val="nil"/>
                    <w:tr2bl w:val="nil"/>
                  </w:tcBorders>
                  <w:noWrap w:val="0"/>
                  <w:vAlign w:val="center"/>
                </w:tcPr>
                <w:p w14:paraId="2A66EBE1">
                  <w:pPr>
                    <w:pStyle w:val="3"/>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firstLine="0" w:firstLineChars="0"/>
                    <w:jc w:val="center"/>
                    <w:textAlignment w:val="auto"/>
                    <w:outlineLvl w:val="9"/>
                    <w:rPr>
                      <w:rFonts w:hint="default" w:ascii="Times New Roman" w:hAnsi="Times New Roman" w:eastAsia="宋体" w:cs="Times New Roman"/>
                      <w:b w:val="0"/>
                      <w:color w:val="0000FF"/>
                      <w:kern w:val="0"/>
                      <w:sz w:val="21"/>
                      <w:szCs w:val="21"/>
                      <w:highlight w:val="none"/>
                    </w:rPr>
                  </w:pPr>
                </w:p>
              </w:tc>
              <w:tc>
                <w:tcPr>
                  <w:tcW w:w="80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986F578">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cs="Times New Roman"/>
                      <w:color w:val="0000FF"/>
                      <w:kern w:val="0"/>
                      <w:sz w:val="21"/>
                      <w:szCs w:val="21"/>
                      <w:highlight w:val="none"/>
                    </w:rPr>
                  </w:pPr>
                  <w:r>
                    <w:rPr>
                      <w:rFonts w:hint="default" w:ascii="Times New Roman" w:hAnsi="Times New Roman" w:cs="Times New Roman"/>
                      <w:color w:val="0000FF"/>
                      <w:kern w:val="0"/>
                      <w:sz w:val="21"/>
                      <w:szCs w:val="21"/>
                      <w:highlight w:val="none"/>
                    </w:rPr>
                    <w:t>昼间</w:t>
                  </w:r>
                </w:p>
              </w:tc>
              <w:tc>
                <w:tcPr>
                  <w:tcW w:w="50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2591F6D">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cs="Times New Roman"/>
                      <w:color w:val="0000FF"/>
                      <w:kern w:val="0"/>
                      <w:sz w:val="21"/>
                      <w:szCs w:val="21"/>
                      <w:highlight w:val="none"/>
                    </w:rPr>
                  </w:pPr>
                  <w:r>
                    <w:rPr>
                      <w:rFonts w:hint="default" w:ascii="Times New Roman" w:hAnsi="Times New Roman" w:cs="Times New Roman"/>
                      <w:color w:val="0000FF"/>
                      <w:kern w:val="0"/>
                      <w:sz w:val="21"/>
                      <w:szCs w:val="21"/>
                      <w:highlight w:val="none"/>
                    </w:rPr>
                    <w:t>夜间</w:t>
                  </w:r>
                </w:p>
              </w:tc>
              <w:tc>
                <w:tcPr>
                  <w:tcW w:w="47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F97B9AA">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cs="Times New Roman"/>
                      <w:color w:val="0000FF"/>
                      <w:kern w:val="0"/>
                      <w:sz w:val="21"/>
                      <w:szCs w:val="21"/>
                      <w:highlight w:val="none"/>
                    </w:rPr>
                  </w:pPr>
                  <w:r>
                    <w:rPr>
                      <w:rFonts w:hint="default" w:ascii="Times New Roman" w:hAnsi="Times New Roman" w:cs="Times New Roman"/>
                      <w:color w:val="0000FF"/>
                      <w:kern w:val="0"/>
                      <w:sz w:val="21"/>
                      <w:szCs w:val="21"/>
                      <w:highlight w:val="none"/>
                    </w:rPr>
                    <w:t>昼间</w:t>
                  </w:r>
                </w:p>
              </w:tc>
              <w:tc>
                <w:tcPr>
                  <w:tcW w:w="533" w:type="pct"/>
                  <w:tcBorders>
                    <w:top w:val="single" w:color="auto" w:sz="4" w:space="0"/>
                    <w:left w:val="single" w:color="auto" w:sz="4" w:space="0"/>
                    <w:bottom w:val="single" w:color="auto" w:sz="4" w:space="0"/>
                    <w:tl2br w:val="nil"/>
                    <w:tr2bl w:val="nil"/>
                  </w:tcBorders>
                  <w:noWrap w:val="0"/>
                  <w:vAlign w:val="center"/>
                </w:tcPr>
                <w:p w14:paraId="01E2DB68">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cs="Times New Roman"/>
                      <w:color w:val="0000FF"/>
                      <w:kern w:val="0"/>
                      <w:sz w:val="21"/>
                      <w:szCs w:val="21"/>
                      <w:highlight w:val="none"/>
                    </w:rPr>
                  </w:pPr>
                  <w:r>
                    <w:rPr>
                      <w:rFonts w:hint="default" w:ascii="Times New Roman" w:hAnsi="Times New Roman" w:cs="Times New Roman"/>
                      <w:color w:val="0000FF"/>
                      <w:kern w:val="0"/>
                      <w:sz w:val="21"/>
                      <w:szCs w:val="21"/>
                      <w:highlight w:val="none"/>
                    </w:rPr>
                    <w:t>夜间</w:t>
                  </w:r>
                </w:p>
              </w:tc>
              <w:tc>
                <w:tcPr>
                  <w:tcW w:w="777" w:type="pct"/>
                  <w:tcBorders>
                    <w:top w:val="single" w:color="auto" w:sz="4" w:space="0"/>
                    <w:left w:val="single" w:color="auto" w:sz="4" w:space="0"/>
                    <w:bottom w:val="single" w:color="auto" w:sz="4" w:space="0"/>
                    <w:tl2br w:val="nil"/>
                    <w:tr2bl w:val="nil"/>
                  </w:tcBorders>
                  <w:noWrap w:val="0"/>
                  <w:vAlign w:val="center"/>
                </w:tcPr>
                <w:p w14:paraId="12EB69A9">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eastAsia" w:ascii="Times New Roman" w:hAnsi="Times New Roman" w:eastAsia="仿宋" w:cs="Times New Roman"/>
                      <w:color w:val="0000FF"/>
                      <w:kern w:val="0"/>
                      <w:sz w:val="21"/>
                      <w:szCs w:val="21"/>
                      <w:highlight w:val="none"/>
                      <w:lang w:val="en-US" w:eastAsia="zh-CN"/>
                    </w:rPr>
                  </w:pPr>
                  <w:r>
                    <w:rPr>
                      <w:rFonts w:hint="eastAsia" w:cs="Times New Roman"/>
                      <w:color w:val="0000FF"/>
                      <w:kern w:val="0"/>
                      <w:sz w:val="21"/>
                      <w:szCs w:val="21"/>
                      <w:highlight w:val="none"/>
                      <w:lang w:val="en-US" w:eastAsia="zh-CN"/>
                    </w:rPr>
                    <w:t>0</w:t>
                  </w:r>
                </w:p>
              </w:tc>
            </w:tr>
            <w:tr w14:paraId="0FE79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901" w:type="pct"/>
                  <w:vMerge w:val="restart"/>
                  <w:tcBorders>
                    <w:top w:val="single" w:color="auto" w:sz="4" w:space="0"/>
                    <w:right w:val="single" w:color="auto" w:sz="4" w:space="0"/>
                    <w:tl2br w:val="nil"/>
                    <w:tr2bl w:val="nil"/>
                  </w:tcBorders>
                  <w:noWrap w:val="0"/>
                  <w:vAlign w:val="center"/>
                </w:tcPr>
                <w:p w14:paraId="236B5AE5">
                  <w:pPr>
                    <w:pStyle w:val="3"/>
                    <w:keepNext w:val="0"/>
                    <w:keepLines w:val="0"/>
                    <w:pageBreakBefore w:val="0"/>
                    <w:widowControl w:val="0"/>
                    <w:numPr>
                      <w:ilvl w:val="0"/>
                      <w:numId w:val="0"/>
                    </w:numPr>
                    <w:kinsoku/>
                    <w:wordWrap/>
                    <w:overflowPunct/>
                    <w:topLinePunct w:val="0"/>
                    <w:autoSpaceDE/>
                    <w:autoSpaceDN/>
                    <w:bidi w:val="0"/>
                    <w:adjustRightInd/>
                    <w:snapToGrid w:val="0"/>
                    <w:spacing w:before="0" w:beforeLines="0" w:after="0" w:afterLines="0" w:line="240" w:lineRule="auto"/>
                    <w:ind w:left="0" w:leftChars="0" w:firstLine="0" w:firstLineChars="0"/>
                    <w:jc w:val="center"/>
                    <w:textAlignment w:val="auto"/>
                    <w:rPr>
                      <w:rFonts w:hint="eastAsia" w:ascii="Times New Roman" w:hAnsi="Times New Roman" w:eastAsia="宋体" w:cs="Times New Roman"/>
                      <w:b w:val="0"/>
                      <w:color w:val="0000FF"/>
                      <w:kern w:val="0"/>
                      <w:sz w:val="21"/>
                      <w:szCs w:val="21"/>
                      <w:highlight w:val="none"/>
                      <w:lang w:eastAsia="zh-CN"/>
                    </w:rPr>
                  </w:pPr>
                  <w:bookmarkStart w:id="27" w:name="OLE_LINK5" w:colFirst="0" w:colLast="1"/>
                  <w:bookmarkStart w:id="28" w:name="OLE_LINK13" w:colFirst="0" w:colLast="0"/>
                  <w:r>
                    <w:rPr>
                      <w:rFonts w:hint="eastAsia" w:ascii="Times New Roman" w:hAnsi="Times New Roman" w:eastAsia="宋体" w:cs="Times New Roman"/>
                      <w:b w:val="0"/>
                      <w:color w:val="0000FF"/>
                      <w:kern w:val="0"/>
                      <w:sz w:val="21"/>
                      <w:szCs w:val="21"/>
                      <w:highlight w:val="none"/>
                      <w:lang w:eastAsia="zh-CN"/>
                    </w:rPr>
                    <w:t>储能电站</w:t>
                  </w:r>
                </w:p>
              </w:tc>
              <w:tc>
                <w:tcPr>
                  <w:tcW w:w="999" w:type="pct"/>
                  <w:tcBorders>
                    <w:top w:val="single" w:color="auto" w:sz="4" w:space="0"/>
                    <w:right w:val="single" w:color="auto" w:sz="4" w:space="0"/>
                    <w:tl2br w:val="nil"/>
                    <w:tr2bl w:val="nil"/>
                  </w:tcBorders>
                  <w:noWrap w:val="0"/>
                  <w:vAlign w:val="center"/>
                </w:tcPr>
                <w:p w14:paraId="41919C6F">
                  <w:pPr>
                    <w:pStyle w:val="3"/>
                    <w:keepNext w:val="0"/>
                    <w:keepLines w:val="0"/>
                    <w:pageBreakBefore w:val="0"/>
                    <w:widowControl w:val="0"/>
                    <w:numPr>
                      <w:ilvl w:val="0"/>
                      <w:numId w:val="0"/>
                    </w:numPr>
                    <w:kinsoku/>
                    <w:wordWrap/>
                    <w:overflowPunct/>
                    <w:topLinePunct w:val="0"/>
                    <w:autoSpaceDE/>
                    <w:autoSpaceDN/>
                    <w:bidi w:val="0"/>
                    <w:adjustRightInd/>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b w:val="0"/>
                      <w:color w:val="0000FF"/>
                      <w:kern w:val="0"/>
                      <w:sz w:val="21"/>
                      <w:szCs w:val="21"/>
                      <w:highlight w:val="none"/>
                      <w:lang w:val="en-US" w:eastAsia="zh-CN"/>
                    </w:rPr>
                  </w:pPr>
                  <w:bookmarkStart w:id="29" w:name="OLE_LINK4"/>
                  <w:bookmarkStart w:id="30" w:name="_Toc18191"/>
                  <w:r>
                    <w:rPr>
                      <w:rFonts w:hint="default" w:ascii="Times New Roman" w:hAnsi="Times New Roman" w:eastAsia="宋体" w:cs="Times New Roman"/>
                      <w:b w:val="0"/>
                      <w:color w:val="0000FF"/>
                      <w:kern w:val="0"/>
                      <w:sz w:val="21"/>
                      <w:szCs w:val="21"/>
                      <w:highlight w:val="none"/>
                      <w:lang w:val="en-US" w:eastAsia="zh-CN"/>
                    </w:rPr>
                    <w:t>东</w:t>
                  </w:r>
                  <w:bookmarkEnd w:id="29"/>
                  <w:r>
                    <w:rPr>
                      <w:rFonts w:hint="default" w:ascii="Times New Roman" w:hAnsi="Times New Roman" w:eastAsia="宋体" w:cs="Times New Roman"/>
                      <w:b w:val="0"/>
                      <w:color w:val="0000FF"/>
                      <w:kern w:val="0"/>
                      <w:sz w:val="21"/>
                      <w:szCs w:val="21"/>
                      <w:highlight w:val="none"/>
                      <w:lang w:val="en-US" w:eastAsia="zh-CN"/>
                    </w:rPr>
                    <w:t>侧厂界</w:t>
                  </w:r>
                  <w:bookmarkEnd w:id="30"/>
                </w:p>
              </w:tc>
              <w:tc>
                <w:tcPr>
                  <w:tcW w:w="80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8F851EE">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eastAsia="宋体" w:cs="Times New Roman"/>
                      <w:color w:val="0000FF"/>
                      <w:kern w:val="0"/>
                      <w:sz w:val="21"/>
                      <w:szCs w:val="21"/>
                      <w:highlight w:val="none"/>
                      <w:lang w:val="en-US" w:eastAsia="zh-CN" w:bidi="ar-SA"/>
                    </w:rPr>
                  </w:pPr>
                  <w:r>
                    <w:rPr>
                      <w:rFonts w:hint="default" w:ascii="Times New Roman" w:hAnsi="Times New Roman" w:eastAsia="宋体" w:cs="Times New Roman"/>
                      <w:color w:val="0000FF"/>
                      <w:kern w:val="0"/>
                      <w:sz w:val="21"/>
                      <w:szCs w:val="21"/>
                      <w:highlight w:val="none"/>
                      <w:lang w:val="en-US" w:eastAsia="zh-CN" w:bidi="ar-SA"/>
                    </w:rPr>
                    <w:t>42.8</w:t>
                  </w:r>
                </w:p>
              </w:tc>
              <w:tc>
                <w:tcPr>
                  <w:tcW w:w="50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1971E44">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eastAsia="宋体" w:cs="Times New Roman"/>
                      <w:color w:val="0000FF"/>
                      <w:kern w:val="0"/>
                      <w:sz w:val="21"/>
                      <w:szCs w:val="21"/>
                      <w:highlight w:val="none"/>
                      <w:lang w:val="en-US" w:eastAsia="zh-CN" w:bidi="ar-SA"/>
                    </w:rPr>
                  </w:pPr>
                  <w:r>
                    <w:rPr>
                      <w:rFonts w:hint="default" w:ascii="Times New Roman" w:hAnsi="Times New Roman" w:eastAsia="宋体" w:cs="Times New Roman"/>
                      <w:color w:val="0000FF"/>
                      <w:kern w:val="0"/>
                      <w:sz w:val="21"/>
                      <w:szCs w:val="21"/>
                      <w:highlight w:val="none"/>
                      <w:lang w:val="en-US" w:eastAsia="zh-CN" w:bidi="ar-SA"/>
                    </w:rPr>
                    <w:t>42.8</w:t>
                  </w:r>
                </w:p>
              </w:tc>
              <w:tc>
                <w:tcPr>
                  <w:tcW w:w="47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90D779B">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eastAsia="宋体" w:cs="Times New Roman"/>
                      <w:color w:val="0000FF"/>
                      <w:kern w:val="0"/>
                      <w:sz w:val="21"/>
                      <w:szCs w:val="21"/>
                      <w:highlight w:val="none"/>
                      <w:lang w:val="en-US" w:eastAsia="zh-CN" w:bidi="ar-SA"/>
                    </w:rPr>
                  </w:pPr>
                  <w:r>
                    <w:rPr>
                      <w:rFonts w:hint="default" w:ascii="Times New Roman" w:hAnsi="Times New Roman" w:eastAsia="宋体" w:cs="Times New Roman"/>
                      <w:color w:val="0000FF"/>
                      <w:kern w:val="0"/>
                      <w:sz w:val="21"/>
                      <w:szCs w:val="21"/>
                      <w:highlight w:val="none"/>
                      <w:lang w:val="en-US" w:eastAsia="zh-CN"/>
                    </w:rPr>
                    <w:t>达标</w:t>
                  </w:r>
                </w:p>
              </w:tc>
              <w:tc>
                <w:tcPr>
                  <w:tcW w:w="533" w:type="pct"/>
                  <w:tcBorders>
                    <w:top w:val="single" w:color="auto" w:sz="4" w:space="0"/>
                    <w:left w:val="single" w:color="auto" w:sz="4" w:space="0"/>
                    <w:bottom w:val="single" w:color="auto" w:sz="4" w:space="0"/>
                    <w:tl2br w:val="nil"/>
                    <w:tr2bl w:val="nil"/>
                  </w:tcBorders>
                  <w:noWrap w:val="0"/>
                  <w:vAlign w:val="center"/>
                </w:tcPr>
                <w:p w14:paraId="68D5510D">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eastAsia="宋体" w:cs="Times New Roman"/>
                      <w:color w:val="0000FF"/>
                      <w:kern w:val="0"/>
                      <w:sz w:val="21"/>
                      <w:szCs w:val="21"/>
                      <w:highlight w:val="none"/>
                      <w:lang w:val="en-US" w:eastAsia="zh-CN" w:bidi="ar-SA"/>
                    </w:rPr>
                  </w:pPr>
                  <w:r>
                    <w:rPr>
                      <w:rFonts w:hint="default" w:ascii="Times New Roman" w:hAnsi="Times New Roman" w:eastAsia="宋体" w:cs="Times New Roman"/>
                      <w:color w:val="0000FF"/>
                      <w:kern w:val="0"/>
                      <w:sz w:val="21"/>
                      <w:szCs w:val="21"/>
                      <w:highlight w:val="none"/>
                      <w:lang w:val="en-US" w:eastAsia="zh-CN"/>
                    </w:rPr>
                    <w:t>达标</w:t>
                  </w:r>
                </w:p>
              </w:tc>
              <w:tc>
                <w:tcPr>
                  <w:tcW w:w="777" w:type="pct"/>
                  <w:tcBorders>
                    <w:top w:val="single" w:color="auto" w:sz="4" w:space="0"/>
                    <w:left w:val="single" w:color="auto" w:sz="4" w:space="0"/>
                    <w:bottom w:val="single" w:color="auto" w:sz="4" w:space="0"/>
                    <w:tl2br w:val="nil"/>
                    <w:tr2bl w:val="nil"/>
                  </w:tcBorders>
                  <w:noWrap w:val="0"/>
                  <w:vAlign w:val="center"/>
                </w:tcPr>
                <w:p w14:paraId="095703C7">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eastAsia="宋体" w:cs="Times New Roman"/>
                      <w:color w:val="0000FF"/>
                      <w:kern w:val="0"/>
                      <w:sz w:val="21"/>
                      <w:szCs w:val="21"/>
                      <w:highlight w:val="none"/>
                      <w:lang w:val="en-US" w:eastAsia="zh-CN"/>
                    </w:rPr>
                  </w:pPr>
                  <w:r>
                    <w:rPr>
                      <w:rFonts w:hint="eastAsia" w:eastAsia="宋体" w:cs="Times New Roman"/>
                      <w:color w:val="0000FF"/>
                      <w:kern w:val="0"/>
                      <w:sz w:val="21"/>
                      <w:szCs w:val="21"/>
                      <w:highlight w:val="none"/>
                      <w:lang w:val="en-US" w:eastAsia="zh-CN"/>
                    </w:rPr>
                    <w:t>0</w:t>
                  </w:r>
                </w:p>
              </w:tc>
            </w:tr>
            <w:bookmarkEnd w:id="26"/>
            <w:bookmarkEnd w:id="27"/>
            <w:tr w14:paraId="467FA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901" w:type="pct"/>
                  <w:vMerge w:val="continue"/>
                  <w:tcBorders>
                    <w:right w:val="single" w:color="auto" w:sz="4" w:space="0"/>
                    <w:tl2br w:val="nil"/>
                    <w:tr2bl w:val="nil"/>
                  </w:tcBorders>
                  <w:noWrap w:val="0"/>
                  <w:vAlign w:val="center"/>
                </w:tcPr>
                <w:p w14:paraId="125DE89B">
                  <w:pPr>
                    <w:pStyle w:val="3"/>
                    <w:keepNext w:val="0"/>
                    <w:keepLines w:val="0"/>
                    <w:pageBreakBefore w:val="0"/>
                    <w:widowControl w:val="0"/>
                    <w:numPr>
                      <w:ilvl w:val="0"/>
                      <w:numId w:val="0"/>
                    </w:numPr>
                    <w:kinsoku/>
                    <w:wordWrap/>
                    <w:overflowPunct/>
                    <w:topLinePunct w:val="0"/>
                    <w:autoSpaceDE/>
                    <w:autoSpaceDN/>
                    <w:bidi w:val="0"/>
                    <w:adjustRightInd/>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b w:val="0"/>
                      <w:color w:val="0000FF"/>
                      <w:kern w:val="0"/>
                      <w:sz w:val="21"/>
                      <w:szCs w:val="21"/>
                      <w:highlight w:val="none"/>
                      <w:lang w:val="en-US" w:eastAsia="zh-CN"/>
                    </w:rPr>
                  </w:pPr>
                  <w:bookmarkStart w:id="31" w:name="OLE_LINK6" w:colFirst="0" w:colLast="1"/>
                </w:p>
              </w:tc>
              <w:tc>
                <w:tcPr>
                  <w:tcW w:w="999" w:type="pct"/>
                  <w:tcBorders>
                    <w:right w:val="single" w:color="auto" w:sz="4" w:space="0"/>
                    <w:tl2br w:val="nil"/>
                    <w:tr2bl w:val="nil"/>
                  </w:tcBorders>
                  <w:noWrap w:val="0"/>
                  <w:vAlign w:val="center"/>
                </w:tcPr>
                <w:p w14:paraId="0CDA9593">
                  <w:pPr>
                    <w:pStyle w:val="3"/>
                    <w:keepNext w:val="0"/>
                    <w:keepLines w:val="0"/>
                    <w:pageBreakBefore w:val="0"/>
                    <w:widowControl w:val="0"/>
                    <w:numPr>
                      <w:ilvl w:val="0"/>
                      <w:numId w:val="0"/>
                    </w:numPr>
                    <w:kinsoku/>
                    <w:wordWrap/>
                    <w:overflowPunct/>
                    <w:topLinePunct w:val="0"/>
                    <w:autoSpaceDE/>
                    <w:autoSpaceDN/>
                    <w:bidi w:val="0"/>
                    <w:adjustRightInd/>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b w:val="0"/>
                      <w:color w:val="0000FF"/>
                      <w:kern w:val="0"/>
                      <w:sz w:val="21"/>
                      <w:szCs w:val="21"/>
                      <w:highlight w:val="none"/>
                      <w:lang w:val="en-US" w:eastAsia="zh-CN"/>
                    </w:rPr>
                  </w:pPr>
                  <w:bookmarkStart w:id="32" w:name="_Toc23260"/>
                  <w:r>
                    <w:rPr>
                      <w:rFonts w:hint="default" w:ascii="Times New Roman" w:hAnsi="Times New Roman" w:eastAsia="宋体" w:cs="Times New Roman"/>
                      <w:b w:val="0"/>
                      <w:color w:val="0000FF"/>
                      <w:kern w:val="0"/>
                      <w:sz w:val="21"/>
                      <w:szCs w:val="21"/>
                      <w:highlight w:val="none"/>
                      <w:lang w:val="en-US" w:eastAsia="zh-CN"/>
                    </w:rPr>
                    <w:t>南侧厂界</w:t>
                  </w:r>
                  <w:bookmarkEnd w:id="32"/>
                </w:p>
              </w:tc>
              <w:tc>
                <w:tcPr>
                  <w:tcW w:w="80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89EA910">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eastAsia="宋体" w:cs="Times New Roman"/>
                      <w:color w:val="0000FF"/>
                      <w:kern w:val="0"/>
                      <w:sz w:val="21"/>
                      <w:szCs w:val="21"/>
                      <w:highlight w:val="none"/>
                      <w:lang w:val="en-US" w:eastAsia="zh-CN" w:bidi="ar-SA"/>
                    </w:rPr>
                  </w:pPr>
                  <w:r>
                    <w:rPr>
                      <w:rFonts w:hint="default" w:ascii="Times New Roman" w:hAnsi="Times New Roman" w:eastAsia="宋体" w:cs="Times New Roman"/>
                      <w:color w:val="0000FF"/>
                      <w:kern w:val="0"/>
                      <w:sz w:val="21"/>
                      <w:szCs w:val="21"/>
                      <w:highlight w:val="none"/>
                      <w:lang w:val="en-US" w:eastAsia="zh-CN" w:bidi="ar-SA"/>
                    </w:rPr>
                    <w:t>44.5</w:t>
                  </w:r>
                </w:p>
              </w:tc>
              <w:tc>
                <w:tcPr>
                  <w:tcW w:w="50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656D5CD">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eastAsia="宋体" w:cs="Times New Roman"/>
                      <w:color w:val="0000FF"/>
                      <w:kern w:val="0"/>
                      <w:sz w:val="21"/>
                      <w:szCs w:val="21"/>
                      <w:highlight w:val="none"/>
                      <w:lang w:val="en-US" w:eastAsia="zh-CN" w:bidi="ar-SA"/>
                    </w:rPr>
                  </w:pPr>
                  <w:r>
                    <w:rPr>
                      <w:rFonts w:hint="default" w:ascii="Times New Roman" w:hAnsi="Times New Roman" w:eastAsia="宋体" w:cs="Times New Roman"/>
                      <w:color w:val="0000FF"/>
                      <w:kern w:val="0"/>
                      <w:sz w:val="21"/>
                      <w:szCs w:val="21"/>
                      <w:highlight w:val="none"/>
                      <w:lang w:val="en-US" w:eastAsia="zh-CN" w:bidi="ar-SA"/>
                    </w:rPr>
                    <w:t>44.5</w:t>
                  </w:r>
                </w:p>
              </w:tc>
              <w:tc>
                <w:tcPr>
                  <w:tcW w:w="47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23E2550">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eastAsia="宋体" w:cs="Times New Roman"/>
                      <w:color w:val="0000FF"/>
                      <w:kern w:val="0"/>
                      <w:sz w:val="21"/>
                      <w:szCs w:val="21"/>
                      <w:highlight w:val="none"/>
                      <w:lang w:val="en-US" w:eastAsia="zh-CN" w:bidi="ar-SA"/>
                    </w:rPr>
                  </w:pPr>
                  <w:r>
                    <w:rPr>
                      <w:rFonts w:hint="default" w:ascii="Times New Roman" w:hAnsi="Times New Roman" w:eastAsia="宋体" w:cs="Times New Roman"/>
                      <w:color w:val="0000FF"/>
                      <w:kern w:val="0"/>
                      <w:sz w:val="21"/>
                      <w:szCs w:val="21"/>
                      <w:highlight w:val="none"/>
                      <w:lang w:val="en-US" w:eastAsia="zh-CN"/>
                    </w:rPr>
                    <w:t>达标</w:t>
                  </w:r>
                </w:p>
              </w:tc>
              <w:tc>
                <w:tcPr>
                  <w:tcW w:w="533" w:type="pct"/>
                  <w:tcBorders>
                    <w:top w:val="single" w:color="auto" w:sz="4" w:space="0"/>
                    <w:left w:val="single" w:color="auto" w:sz="4" w:space="0"/>
                    <w:bottom w:val="single" w:color="auto" w:sz="4" w:space="0"/>
                    <w:tl2br w:val="nil"/>
                    <w:tr2bl w:val="nil"/>
                  </w:tcBorders>
                  <w:noWrap w:val="0"/>
                  <w:vAlign w:val="center"/>
                </w:tcPr>
                <w:p w14:paraId="01D89D11">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eastAsia="宋体" w:cs="Times New Roman"/>
                      <w:color w:val="0000FF"/>
                      <w:kern w:val="0"/>
                      <w:sz w:val="21"/>
                      <w:szCs w:val="21"/>
                      <w:highlight w:val="none"/>
                      <w:lang w:val="en-US" w:eastAsia="zh-CN" w:bidi="ar-SA"/>
                    </w:rPr>
                  </w:pPr>
                  <w:r>
                    <w:rPr>
                      <w:rFonts w:hint="default" w:ascii="Times New Roman" w:hAnsi="Times New Roman" w:eastAsia="宋体" w:cs="Times New Roman"/>
                      <w:color w:val="0000FF"/>
                      <w:kern w:val="0"/>
                      <w:sz w:val="21"/>
                      <w:szCs w:val="21"/>
                      <w:highlight w:val="none"/>
                      <w:lang w:val="en-US" w:eastAsia="zh-CN"/>
                    </w:rPr>
                    <w:t>达标</w:t>
                  </w:r>
                </w:p>
              </w:tc>
              <w:tc>
                <w:tcPr>
                  <w:tcW w:w="777" w:type="pct"/>
                  <w:tcBorders>
                    <w:top w:val="single" w:color="auto" w:sz="4" w:space="0"/>
                    <w:left w:val="single" w:color="auto" w:sz="4" w:space="0"/>
                    <w:bottom w:val="single" w:color="auto" w:sz="4" w:space="0"/>
                    <w:tl2br w:val="nil"/>
                    <w:tr2bl w:val="nil"/>
                  </w:tcBorders>
                  <w:noWrap w:val="0"/>
                  <w:vAlign w:val="center"/>
                </w:tcPr>
                <w:p w14:paraId="263C7584">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eastAsia="宋体" w:cs="Times New Roman"/>
                      <w:color w:val="0000FF"/>
                      <w:kern w:val="0"/>
                      <w:sz w:val="21"/>
                      <w:szCs w:val="21"/>
                      <w:highlight w:val="none"/>
                      <w:lang w:val="en-US" w:eastAsia="zh-CN"/>
                    </w:rPr>
                  </w:pPr>
                  <w:r>
                    <w:rPr>
                      <w:rFonts w:hint="eastAsia" w:eastAsia="宋体" w:cs="Times New Roman"/>
                      <w:color w:val="0000FF"/>
                      <w:kern w:val="0"/>
                      <w:sz w:val="21"/>
                      <w:szCs w:val="21"/>
                      <w:highlight w:val="none"/>
                      <w:lang w:val="en-US" w:eastAsia="zh-CN"/>
                    </w:rPr>
                    <w:t>0</w:t>
                  </w:r>
                </w:p>
              </w:tc>
            </w:tr>
            <w:bookmarkEnd w:id="31"/>
            <w:tr w14:paraId="650FF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901" w:type="pct"/>
                  <w:vMerge w:val="continue"/>
                  <w:tcBorders>
                    <w:right w:val="single" w:color="auto" w:sz="4" w:space="0"/>
                    <w:tl2br w:val="nil"/>
                    <w:tr2bl w:val="nil"/>
                  </w:tcBorders>
                  <w:noWrap w:val="0"/>
                  <w:vAlign w:val="center"/>
                </w:tcPr>
                <w:p w14:paraId="6782A1CA">
                  <w:pPr>
                    <w:pStyle w:val="3"/>
                    <w:keepNext w:val="0"/>
                    <w:keepLines w:val="0"/>
                    <w:pageBreakBefore w:val="0"/>
                    <w:widowControl w:val="0"/>
                    <w:numPr>
                      <w:ilvl w:val="0"/>
                      <w:numId w:val="0"/>
                    </w:numPr>
                    <w:kinsoku/>
                    <w:wordWrap/>
                    <w:overflowPunct/>
                    <w:topLinePunct w:val="0"/>
                    <w:autoSpaceDE/>
                    <w:autoSpaceDN/>
                    <w:bidi w:val="0"/>
                    <w:adjustRightInd/>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b w:val="0"/>
                      <w:color w:val="0000FF"/>
                      <w:kern w:val="0"/>
                      <w:sz w:val="21"/>
                      <w:szCs w:val="21"/>
                      <w:highlight w:val="none"/>
                      <w:lang w:val="en-US" w:eastAsia="zh-CN"/>
                    </w:rPr>
                  </w:pPr>
                  <w:bookmarkStart w:id="33" w:name="OLE_LINK7" w:colFirst="0" w:colLast="1"/>
                  <w:bookmarkStart w:id="34" w:name="OLE_LINK12" w:colFirst="0" w:colLast="0"/>
                </w:p>
              </w:tc>
              <w:tc>
                <w:tcPr>
                  <w:tcW w:w="999" w:type="pct"/>
                  <w:tcBorders>
                    <w:right w:val="single" w:color="auto" w:sz="4" w:space="0"/>
                    <w:tl2br w:val="nil"/>
                    <w:tr2bl w:val="nil"/>
                  </w:tcBorders>
                  <w:noWrap w:val="0"/>
                  <w:vAlign w:val="center"/>
                </w:tcPr>
                <w:p w14:paraId="6CA6832F">
                  <w:pPr>
                    <w:pStyle w:val="3"/>
                    <w:keepNext w:val="0"/>
                    <w:keepLines w:val="0"/>
                    <w:pageBreakBefore w:val="0"/>
                    <w:widowControl w:val="0"/>
                    <w:numPr>
                      <w:ilvl w:val="0"/>
                      <w:numId w:val="0"/>
                    </w:numPr>
                    <w:kinsoku/>
                    <w:wordWrap/>
                    <w:overflowPunct/>
                    <w:topLinePunct w:val="0"/>
                    <w:autoSpaceDE/>
                    <w:autoSpaceDN/>
                    <w:bidi w:val="0"/>
                    <w:adjustRightInd/>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b w:val="0"/>
                      <w:color w:val="0000FF"/>
                      <w:kern w:val="0"/>
                      <w:sz w:val="21"/>
                      <w:szCs w:val="21"/>
                      <w:highlight w:val="none"/>
                      <w:lang w:val="en-US" w:eastAsia="zh-CN"/>
                    </w:rPr>
                  </w:pPr>
                  <w:bookmarkStart w:id="35" w:name="_Toc11046"/>
                  <w:r>
                    <w:rPr>
                      <w:rFonts w:hint="default" w:ascii="Times New Roman" w:hAnsi="Times New Roman" w:eastAsia="宋体" w:cs="Times New Roman"/>
                      <w:b w:val="0"/>
                      <w:color w:val="0000FF"/>
                      <w:kern w:val="0"/>
                      <w:sz w:val="21"/>
                      <w:szCs w:val="21"/>
                      <w:highlight w:val="none"/>
                      <w:lang w:val="en-US" w:eastAsia="zh-CN"/>
                    </w:rPr>
                    <w:t>西侧厂界</w:t>
                  </w:r>
                  <w:bookmarkEnd w:id="35"/>
                </w:p>
              </w:tc>
              <w:tc>
                <w:tcPr>
                  <w:tcW w:w="80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AF417E3">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eastAsia="宋体" w:cs="Times New Roman"/>
                      <w:color w:val="0000FF"/>
                      <w:kern w:val="0"/>
                      <w:sz w:val="21"/>
                      <w:szCs w:val="21"/>
                      <w:highlight w:val="none"/>
                      <w:lang w:val="en-US" w:eastAsia="zh-CN" w:bidi="ar-SA"/>
                    </w:rPr>
                  </w:pPr>
                  <w:r>
                    <w:rPr>
                      <w:rFonts w:hint="default" w:ascii="Times New Roman" w:hAnsi="Times New Roman" w:eastAsia="宋体" w:cs="Times New Roman"/>
                      <w:color w:val="0000FF"/>
                      <w:kern w:val="0"/>
                      <w:sz w:val="21"/>
                      <w:szCs w:val="21"/>
                      <w:highlight w:val="none"/>
                      <w:lang w:val="en-US" w:eastAsia="zh-CN" w:bidi="ar-SA"/>
                    </w:rPr>
                    <w:t>41.6</w:t>
                  </w:r>
                </w:p>
              </w:tc>
              <w:tc>
                <w:tcPr>
                  <w:tcW w:w="50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F2BA4B7">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eastAsia="宋体" w:cs="Times New Roman"/>
                      <w:color w:val="0000FF"/>
                      <w:kern w:val="0"/>
                      <w:sz w:val="21"/>
                      <w:szCs w:val="21"/>
                      <w:highlight w:val="none"/>
                      <w:lang w:val="en-US" w:eastAsia="zh-CN" w:bidi="ar-SA"/>
                    </w:rPr>
                  </w:pPr>
                  <w:r>
                    <w:rPr>
                      <w:rFonts w:hint="default" w:ascii="Times New Roman" w:hAnsi="Times New Roman" w:eastAsia="宋体" w:cs="Times New Roman"/>
                      <w:color w:val="0000FF"/>
                      <w:kern w:val="0"/>
                      <w:sz w:val="21"/>
                      <w:szCs w:val="21"/>
                      <w:highlight w:val="none"/>
                      <w:lang w:val="en-US" w:eastAsia="zh-CN" w:bidi="ar-SA"/>
                    </w:rPr>
                    <w:t>41.6</w:t>
                  </w:r>
                </w:p>
              </w:tc>
              <w:tc>
                <w:tcPr>
                  <w:tcW w:w="47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61D0F6F">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eastAsia="宋体" w:cs="Times New Roman"/>
                      <w:color w:val="0000FF"/>
                      <w:kern w:val="0"/>
                      <w:sz w:val="21"/>
                      <w:szCs w:val="21"/>
                      <w:highlight w:val="none"/>
                      <w:lang w:val="en-US" w:eastAsia="zh-CN" w:bidi="ar-SA"/>
                    </w:rPr>
                  </w:pPr>
                  <w:r>
                    <w:rPr>
                      <w:rFonts w:hint="default" w:ascii="Times New Roman" w:hAnsi="Times New Roman" w:eastAsia="宋体" w:cs="Times New Roman"/>
                      <w:color w:val="0000FF"/>
                      <w:kern w:val="0"/>
                      <w:sz w:val="21"/>
                      <w:szCs w:val="21"/>
                      <w:highlight w:val="none"/>
                      <w:lang w:val="en-US" w:eastAsia="zh-CN"/>
                    </w:rPr>
                    <w:t>达标</w:t>
                  </w:r>
                </w:p>
              </w:tc>
              <w:tc>
                <w:tcPr>
                  <w:tcW w:w="533" w:type="pct"/>
                  <w:tcBorders>
                    <w:top w:val="single" w:color="auto" w:sz="4" w:space="0"/>
                    <w:left w:val="single" w:color="auto" w:sz="4" w:space="0"/>
                    <w:bottom w:val="single" w:color="auto" w:sz="4" w:space="0"/>
                    <w:tl2br w:val="nil"/>
                    <w:tr2bl w:val="nil"/>
                  </w:tcBorders>
                  <w:noWrap w:val="0"/>
                  <w:vAlign w:val="center"/>
                </w:tcPr>
                <w:p w14:paraId="7D6BA8CD">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eastAsia="宋体" w:cs="Times New Roman"/>
                      <w:color w:val="0000FF"/>
                      <w:kern w:val="0"/>
                      <w:sz w:val="21"/>
                      <w:szCs w:val="21"/>
                      <w:highlight w:val="none"/>
                      <w:lang w:val="en-US" w:eastAsia="zh-CN" w:bidi="ar-SA"/>
                    </w:rPr>
                  </w:pPr>
                  <w:r>
                    <w:rPr>
                      <w:rFonts w:hint="default" w:ascii="Times New Roman" w:hAnsi="Times New Roman" w:eastAsia="宋体" w:cs="Times New Roman"/>
                      <w:color w:val="0000FF"/>
                      <w:kern w:val="0"/>
                      <w:sz w:val="21"/>
                      <w:szCs w:val="21"/>
                      <w:highlight w:val="none"/>
                      <w:lang w:val="en-US" w:eastAsia="zh-CN"/>
                    </w:rPr>
                    <w:t>达标</w:t>
                  </w:r>
                </w:p>
              </w:tc>
              <w:tc>
                <w:tcPr>
                  <w:tcW w:w="777" w:type="pct"/>
                  <w:tcBorders>
                    <w:top w:val="single" w:color="auto" w:sz="4" w:space="0"/>
                    <w:left w:val="single" w:color="auto" w:sz="4" w:space="0"/>
                    <w:bottom w:val="single" w:color="auto" w:sz="4" w:space="0"/>
                    <w:tl2br w:val="nil"/>
                    <w:tr2bl w:val="nil"/>
                  </w:tcBorders>
                  <w:noWrap w:val="0"/>
                  <w:vAlign w:val="center"/>
                </w:tcPr>
                <w:p w14:paraId="5FB8A8CD">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eastAsia="宋体" w:cs="Times New Roman"/>
                      <w:color w:val="0000FF"/>
                      <w:kern w:val="0"/>
                      <w:sz w:val="21"/>
                      <w:szCs w:val="21"/>
                      <w:highlight w:val="none"/>
                      <w:lang w:val="en-US" w:eastAsia="zh-CN"/>
                    </w:rPr>
                  </w:pPr>
                  <w:r>
                    <w:rPr>
                      <w:rFonts w:hint="eastAsia" w:eastAsia="宋体" w:cs="Times New Roman"/>
                      <w:color w:val="0000FF"/>
                      <w:kern w:val="0"/>
                      <w:sz w:val="21"/>
                      <w:szCs w:val="21"/>
                      <w:highlight w:val="none"/>
                      <w:lang w:val="en-US" w:eastAsia="zh-CN"/>
                    </w:rPr>
                    <w:t>0</w:t>
                  </w:r>
                </w:p>
              </w:tc>
            </w:tr>
            <w:bookmarkEnd w:id="33"/>
            <w:tr w14:paraId="1E7BF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901" w:type="pct"/>
                  <w:vMerge w:val="continue"/>
                  <w:tcBorders>
                    <w:bottom w:val="single" w:color="auto" w:sz="4" w:space="0"/>
                    <w:right w:val="single" w:color="auto" w:sz="4" w:space="0"/>
                    <w:tl2br w:val="nil"/>
                    <w:tr2bl w:val="nil"/>
                  </w:tcBorders>
                  <w:noWrap w:val="0"/>
                  <w:vAlign w:val="center"/>
                </w:tcPr>
                <w:p w14:paraId="2CD64C29">
                  <w:pPr>
                    <w:pStyle w:val="3"/>
                    <w:keepNext w:val="0"/>
                    <w:keepLines w:val="0"/>
                    <w:pageBreakBefore w:val="0"/>
                    <w:widowControl w:val="0"/>
                    <w:numPr>
                      <w:ilvl w:val="0"/>
                      <w:numId w:val="0"/>
                    </w:numPr>
                    <w:kinsoku/>
                    <w:wordWrap/>
                    <w:overflowPunct/>
                    <w:topLinePunct w:val="0"/>
                    <w:autoSpaceDE/>
                    <w:autoSpaceDN/>
                    <w:bidi w:val="0"/>
                    <w:adjustRightInd/>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b w:val="0"/>
                      <w:color w:val="0000FF"/>
                      <w:kern w:val="0"/>
                      <w:sz w:val="21"/>
                      <w:szCs w:val="21"/>
                      <w:highlight w:val="none"/>
                      <w:lang w:val="en-US" w:eastAsia="zh-CN"/>
                    </w:rPr>
                  </w:pPr>
                </w:p>
              </w:tc>
              <w:tc>
                <w:tcPr>
                  <w:tcW w:w="999" w:type="pct"/>
                  <w:tcBorders>
                    <w:bottom w:val="single" w:color="auto" w:sz="4" w:space="0"/>
                    <w:right w:val="single" w:color="auto" w:sz="4" w:space="0"/>
                    <w:tl2br w:val="nil"/>
                    <w:tr2bl w:val="nil"/>
                  </w:tcBorders>
                  <w:noWrap w:val="0"/>
                  <w:vAlign w:val="center"/>
                </w:tcPr>
                <w:p w14:paraId="40B4EEAE">
                  <w:pPr>
                    <w:pStyle w:val="3"/>
                    <w:keepNext w:val="0"/>
                    <w:keepLines w:val="0"/>
                    <w:pageBreakBefore w:val="0"/>
                    <w:widowControl w:val="0"/>
                    <w:numPr>
                      <w:ilvl w:val="0"/>
                      <w:numId w:val="0"/>
                    </w:numPr>
                    <w:kinsoku/>
                    <w:wordWrap/>
                    <w:overflowPunct/>
                    <w:topLinePunct w:val="0"/>
                    <w:autoSpaceDE/>
                    <w:autoSpaceDN/>
                    <w:bidi w:val="0"/>
                    <w:adjustRightInd/>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b w:val="0"/>
                      <w:color w:val="0000FF"/>
                      <w:kern w:val="0"/>
                      <w:sz w:val="21"/>
                      <w:szCs w:val="21"/>
                      <w:highlight w:val="none"/>
                      <w:lang w:val="en-US" w:eastAsia="zh-CN"/>
                    </w:rPr>
                  </w:pPr>
                  <w:bookmarkStart w:id="36" w:name="_Toc3620"/>
                  <w:r>
                    <w:rPr>
                      <w:rFonts w:hint="default" w:ascii="Times New Roman" w:hAnsi="Times New Roman" w:eastAsia="宋体" w:cs="Times New Roman"/>
                      <w:b w:val="0"/>
                      <w:color w:val="0000FF"/>
                      <w:kern w:val="0"/>
                      <w:sz w:val="21"/>
                      <w:szCs w:val="21"/>
                      <w:highlight w:val="none"/>
                      <w:lang w:val="en-US" w:eastAsia="zh-CN"/>
                    </w:rPr>
                    <w:t>北侧厂界</w:t>
                  </w:r>
                  <w:bookmarkEnd w:id="36"/>
                </w:p>
              </w:tc>
              <w:tc>
                <w:tcPr>
                  <w:tcW w:w="80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37C273E">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eastAsia="宋体" w:cs="Times New Roman"/>
                      <w:color w:val="0000FF"/>
                      <w:kern w:val="0"/>
                      <w:sz w:val="21"/>
                      <w:szCs w:val="21"/>
                      <w:highlight w:val="none"/>
                      <w:lang w:val="en-US" w:eastAsia="zh-CN" w:bidi="ar-SA"/>
                    </w:rPr>
                  </w:pPr>
                  <w:r>
                    <w:rPr>
                      <w:rFonts w:hint="default" w:ascii="Times New Roman" w:hAnsi="Times New Roman" w:eastAsia="宋体" w:cs="Times New Roman"/>
                      <w:color w:val="0000FF"/>
                      <w:kern w:val="0"/>
                      <w:sz w:val="21"/>
                      <w:szCs w:val="21"/>
                      <w:highlight w:val="none"/>
                      <w:lang w:val="en-US" w:eastAsia="zh-CN" w:bidi="ar-SA"/>
                    </w:rPr>
                    <w:t>43.6</w:t>
                  </w:r>
                </w:p>
              </w:tc>
              <w:tc>
                <w:tcPr>
                  <w:tcW w:w="50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ABDE4CE">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eastAsia="宋体" w:cs="Times New Roman"/>
                      <w:color w:val="0000FF"/>
                      <w:kern w:val="0"/>
                      <w:sz w:val="21"/>
                      <w:szCs w:val="21"/>
                      <w:highlight w:val="none"/>
                      <w:lang w:val="en-US" w:eastAsia="zh-CN" w:bidi="ar-SA"/>
                    </w:rPr>
                  </w:pPr>
                  <w:r>
                    <w:rPr>
                      <w:rFonts w:hint="default" w:ascii="Times New Roman" w:hAnsi="Times New Roman" w:eastAsia="宋体" w:cs="Times New Roman"/>
                      <w:color w:val="0000FF"/>
                      <w:kern w:val="0"/>
                      <w:sz w:val="21"/>
                      <w:szCs w:val="21"/>
                      <w:highlight w:val="none"/>
                      <w:lang w:val="en-US" w:eastAsia="zh-CN" w:bidi="ar-SA"/>
                    </w:rPr>
                    <w:t>43.6</w:t>
                  </w:r>
                </w:p>
              </w:tc>
              <w:tc>
                <w:tcPr>
                  <w:tcW w:w="47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3EEA971">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eastAsia="宋体" w:cs="Times New Roman"/>
                      <w:color w:val="0000FF"/>
                      <w:kern w:val="0"/>
                      <w:sz w:val="21"/>
                      <w:szCs w:val="21"/>
                      <w:highlight w:val="none"/>
                      <w:lang w:val="en-US" w:eastAsia="zh-CN" w:bidi="ar-SA"/>
                    </w:rPr>
                  </w:pPr>
                  <w:r>
                    <w:rPr>
                      <w:rFonts w:hint="default" w:ascii="Times New Roman" w:hAnsi="Times New Roman" w:eastAsia="宋体" w:cs="Times New Roman"/>
                      <w:color w:val="0000FF"/>
                      <w:kern w:val="0"/>
                      <w:sz w:val="21"/>
                      <w:szCs w:val="21"/>
                      <w:highlight w:val="none"/>
                      <w:lang w:val="en-US" w:eastAsia="zh-CN"/>
                    </w:rPr>
                    <w:t>达标</w:t>
                  </w:r>
                </w:p>
              </w:tc>
              <w:tc>
                <w:tcPr>
                  <w:tcW w:w="533" w:type="pct"/>
                  <w:tcBorders>
                    <w:top w:val="single" w:color="auto" w:sz="4" w:space="0"/>
                    <w:left w:val="single" w:color="auto" w:sz="4" w:space="0"/>
                    <w:bottom w:val="single" w:color="auto" w:sz="4" w:space="0"/>
                    <w:tl2br w:val="nil"/>
                    <w:tr2bl w:val="nil"/>
                  </w:tcBorders>
                  <w:noWrap w:val="0"/>
                  <w:vAlign w:val="center"/>
                </w:tcPr>
                <w:p w14:paraId="2211DB9D">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eastAsia="宋体" w:cs="Times New Roman"/>
                      <w:color w:val="0000FF"/>
                      <w:kern w:val="0"/>
                      <w:sz w:val="21"/>
                      <w:szCs w:val="21"/>
                      <w:highlight w:val="none"/>
                      <w:lang w:val="en-US" w:eastAsia="zh-CN" w:bidi="ar-SA"/>
                    </w:rPr>
                  </w:pPr>
                  <w:r>
                    <w:rPr>
                      <w:rFonts w:hint="default" w:ascii="Times New Roman" w:hAnsi="Times New Roman" w:eastAsia="宋体" w:cs="Times New Roman"/>
                      <w:color w:val="0000FF"/>
                      <w:kern w:val="0"/>
                      <w:sz w:val="21"/>
                      <w:szCs w:val="21"/>
                      <w:highlight w:val="none"/>
                      <w:lang w:val="en-US" w:eastAsia="zh-CN"/>
                    </w:rPr>
                    <w:t>达标</w:t>
                  </w:r>
                </w:p>
              </w:tc>
              <w:tc>
                <w:tcPr>
                  <w:tcW w:w="777" w:type="pct"/>
                  <w:tcBorders>
                    <w:top w:val="single" w:color="auto" w:sz="4" w:space="0"/>
                    <w:left w:val="single" w:color="auto" w:sz="4" w:space="0"/>
                    <w:bottom w:val="single" w:color="auto" w:sz="4" w:space="0"/>
                    <w:tl2br w:val="nil"/>
                    <w:tr2bl w:val="nil"/>
                  </w:tcBorders>
                  <w:noWrap w:val="0"/>
                  <w:vAlign w:val="center"/>
                </w:tcPr>
                <w:p w14:paraId="0B7EC43B">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eastAsia="宋体" w:cs="Times New Roman"/>
                      <w:color w:val="0000FF"/>
                      <w:kern w:val="0"/>
                      <w:sz w:val="21"/>
                      <w:szCs w:val="21"/>
                      <w:highlight w:val="none"/>
                      <w:lang w:val="en-US" w:eastAsia="zh-CN"/>
                    </w:rPr>
                  </w:pPr>
                  <w:r>
                    <w:rPr>
                      <w:rFonts w:hint="eastAsia" w:eastAsia="宋体" w:cs="Times New Roman"/>
                      <w:color w:val="0000FF"/>
                      <w:kern w:val="0"/>
                      <w:sz w:val="21"/>
                      <w:szCs w:val="21"/>
                      <w:highlight w:val="none"/>
                      <w:lang w:val="en-US" w:eastAsia="zh-CN"/>
                    </w:rPr>
                    <w:t>0</w:t>
                  </w:r>
                </w:p>
              </w:tc>
            </w:tr>
            <w:tr w14:paraId="724C9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900" w:type="pct"/>
                  <w:gridSpan w:val="2"/>
                  <w:tcBorders>
                    <w:top w:val="single" w:color="auto" w:sz="4" w:space="0"/>
                    <w:right w:val="single" w:color="auto" w:sz="4" w:space="0"/>
                    <w:tl2br w:val="nil"/>
                    <w:tr2bl w:val="nil"/>
                  </w:tcBorders>
                  <w:noWrap w:val="0"/>
                  <w:vAlign w:val="center"/>
                </w:tcPr>
                <w:p w14:paraId="251DCA96">
                  <w:pPr>
                    <w:pStyle w:val="3"/>
                    <w:keepNext w:val="0"/>
                    <w:keepLines w:val="0"/>
                    <w:pageBreakBefore w:val="0"/>
                    <w:widowControl w:val="0"/>
                    <w:numPr>
                      <w:ilvl w:val="0"/>
                      <w:numId w:val="0"/>
                    </w:numPr>
                    <w:kinsoku/>
                    <w:wordWrap/>
                    <w:overflowPunct/>
                    <w:topLinePunct w:val="0"/>
                    <w:autoSpaceDE/>
                    <w:autoSpaceDN/>
                    <w:bidi w:val="0"/>
                    <w:adjustRightInd/>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b w:val="0"/>
                      <w:color w:val="0000FF"/>
                      <w:kern w:val="0"/>
                      <w:sz w:val="21"/>
                      <w:szCs w:val="21"/>
                      <w:highlight w:val="none"/>
                      <w:lang w:val="en-US" w:eastAsia="zh-CN"/>
                    </w:rPr>
                  </w:pPr>
                  <w:bookmarkStart w:id="37" w:name="_Toc17603"/>
                  <w:r>
                    <w:rPr>
                      <w:rFonts w:hint="default" w:ascii="Times New Roman" w:hAnsi="Times New Roman" w:eastAsia="宋体" w:cs="Times New Roman"/>
                      <w:b w:val="0"/>
                      <w:color w:val="0000FF"/>
                      <w:kern w:val="0"/>
                      <w:sz w:val="21"/>
                      <w:szCs w:val="21"/>
                      <w:highlight w:val="none"/>
                      <w:lang w:val="en-US" w:eastAsia="zh-CN"/>
                    </w:rPr>
                    <w:t>标准限值</w:t>
                  </w:r>
                  <w:bookmarkEnd w:id="37"/>
                </w:p>
              </w:tc>
              <w:tc>
                <w:tcPr>
                  <w:tcW w:w="805" w:type="pct"/>
                  <w:tcBorders>
                    <w:top w:val="single" w:color="auto" w:sz="4" w:space="0"/>
                    <w:left w:val="single" w:color="auto" w:sz="4" w:space="0"/>
                    <w:right w:val="single" w:color="auto" w:sz="4" w:space="0"/>
                    <w:tl2br w:val="nil"/>
                    <w:tr2bl w:val="nil"/>
                  </w:tcBorders>
                  <w:noWrap w:val="0"/>
                  <w:vAlign w:val="center"/>
                </w:tcPr>
                <w:p w14:paraId="7F825E6D">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cs="Times New Roman"/>
                      <w:color w:val="0000FF"/>
                      <w:kern w:val="0"/>
                      <w:sz w:val="21"/>
                      <w:szCs w:val="21"/>
                      <w:highlight w:val="none"/>
                      <w:lang w:val="en-US" w:eastAsia="zh-CN"/>
                    </w:rPr>
                  </w:pPr>
                  <w:r>
                    <w:rPr>
                      <w:rFonts w:hint="default" w:ascii="Times New Roman" w:hAnsi="Times New Roman" w:cs="Times New Roman"/>
                      <w:color w:val="0000FF"/>
                      <w:kern w:val="0"/>
                      <w:sz w:val="21"/>
                      <w:szCs w:val="21"/>
                      <w:highlight w:val="none"/>
                      <w:lang w:val="en-US" w:eastAsia="zh-CN"/>
                    </w:rPr>
                    <w:t>6</w:t>
                  </w:r>
                  <w:r>
                    <w:rPr>
                      <w:rFonts w:hint="eastAsia" w:ascii="Times New Roman" w:hAnsi="Times New Roman" w:cs="Times New Roman"/>
                      <w:color w:val="0000FF"/>
                      <w:kern w:val="0"/>
                      <w:sz w:val="21"/>
                      <w:szCs w:val="21"/>
                      <w:highlight w:val="none"/>
                      <w:lang w:val="en-US" w:eastAsia="zh-CN"/>
                    </w:rPr>
                    <w:t>5</w:t>
                  </w:r>
                </w:p>
              </w:tc>
              <w:tc>
                <w:tcPr>
                  <w:tcW w:w="508" w:type="pct"/>
                  <w:tcBorders>
                    <w:top w:val="single" w:color="auto" w:sz="4" w:space="0"/>
                    <w:left w:val="single" w:color="auto" w:sz="4" w:space="0"/>
                    <w:right w:val="single" w:color="auto" w:sz="4" w:space="0"/>
                    <w:tl2br w:val="nil"/>
                    <w:tr2bl w:val="nil"/>
                  </w:tcBorders>
                  <w:noWrap w:val="0"/>
                  <w:vAlign w:val="center"/>
                </w:tcPr>
                <w:p w14:paraId="2C4702E5">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cs="Times New Roman"/>
                      <w:color w:val="0000FF"/>
                      <w:kern w:val="0"/>
                      <w:sz w:val="21"/>
                      <w:szCs w:val="21"/>
                      <w:highlight w:val="none"/>
                      <w:lang w:val="en-US" w:eastAsia="zh-CN"/>
                    </w:rPr>
                  </w:pPr>
                  <w:r>
                    <w:rPr>
                      <w:rFonts w:hint="default" w:ascii="Times New Roman" w:hAnsi="Times New Roman" w:cs="Times New Roman"/>
                      <w:color w:val="0000FF"/>
                      <w:kern w:val="0"/>
                      <w:sz w:val="21"/>
                      <w:szCs w:val="21"/>
                      <w:highlight w:val="none"/>
                      <w:lang w:val="en-US" w:eastAsia="zh-CN"/>
                    </w:rPr>
                    <w:t>5</w:t>
                  </w:r>
                  <w:r>
                    <w:rPr>
                      <w:rFonts w:hint="eastAsia" w:ascii="Times New Roman" w:hAnsi="Times New Roman" w:cs="Times New Roman"/>
                      <w:color w:val="0000FF"/>
                      <w:kern w:val="0"/>
                      <w:sz w:val="21"/>
                      <w:szCs w:val="21"/>
                      <w:highlight w:val="none"/>
                      <w:lang w:val="en-US" w:eastAsia="zh-CN"/>
                    </w:rPr>
                    <w:t>5</w:t>
                  </w:r>
                </w:p>
              </w:tc>
              <w:tc>
                <w:tcPr>
                  <w:tcW w:w="473" w:type="pct"/>
                  <w:tcBorders>
                    <w:top w:val="single" w:color="auto" w:sz="4" w:space="0"/>
                    <w:left w:val="single" w:color="auto" w:sz="4" w:space="0"/>
                    <w:right w:val="single" w:color="auto" w:sz="4" w:space="0"/>
                    <w:tl2br w:val="nil"/>
                    <w:tr2bl w:val="nil"/>
                  </w:tcBorders>
                  <w:noWrap w:val="0"/>
                  <w:vAlign w:val="center"/>
                </w:tcPr>
                <w:p w14:paraId="45D8C7CA">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eastAsia="宋体" w:cs="Times New Roman"/>
                      <w:color w:val="0000FF"/>
                      <w:kern w:val="0"/>
                      <w:sz w:val="21"/>
                      <w:szCs w:val="21"/>
                      <w:highlight w:val="none"/>
                      <w:lang w:val="en-US" w:eastAsia="zh-CN"/>
                    </w:rPr>
                  </w:pPr>
                  <w:r>
                    <w:rPr>
                      <w:rFonts w:hint="default" w:ascii="Times New Roman" w:hAnsi="Times New Roman" w:cs="Times New Roman"/>
                      <w:color w:val="0000FF"/>
                      <w:kern w:val="0"/>
                      <w:sz w:val="21"/>
                      <w:szCs w:val="21"/>
                      <w:highlight w:val="none"/>
                      <w:lang w:val="en-US" w:eastAsia="zh-CN"/>
                    </w:rPr>
                    <w:t>-</w:t>
                  </w:r>
                </w:p>
              </w:tc>
              <w:tc>
                <w:tcPr>
                  <w:tcW w:w="533" w:type="pct"/>
                  <w:tcBorders>
                    <w:top w:val="single" w:color="auto" w:sz="4" w:space="0"/>
                    <w:left w:val="single" w:color="auto" w:sz="4" w:space="0"/>
                    <w:tl2br w:val="nil"/>
                    <w:tr2bl w:val="nil"/>
                  </w:tcBorders>
                  <w:noWrap w:val="0"/>
                  <w:vAlign w:val="center"/>
                </w:tcPr>
                <w:p w14:paraId="01B4C225">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eastAsia="宋体" w:cs="Times New Roman"/>
                      <w:color w:val="0000FF"/>
                      <w:kern w:val="0"/>
                      <w:sz w:val="21"/>
                      <w:szCs w:val="21"/>
                      <w:highlight w:val="none"/>
                      <w:lang w:val="en-US" w:eastAsia="zh-CN"/>
                    </w:rPr>
                  </w:pPr>
                  <w:r>
                    <w:rPr>
                      <w:rFonts w:hint="default" w:ascii="Times New Roman" w:hAnsi="Times New Roman" w:cs="Times New Roman"/>
                      <w:color w:val="0000FF"/>
                      <w:kern w:val="0"/>
                      <w:sz w:val="21"/>
                      <w:szCs w:val="21"/>
                      <w:highlight w:val="none"/>
                      <w:lang w:val="en-US" w:eastAsia="zh-CN"/>
                    </w:rPr>
                    <w:t>-</w:t>
                  </w:r>
                </w:p>
              </w:tc>
              <w:tc>
                <w:tcPr>
                  <w:tcW w:w="777" w:type="pct"/>
                  <w:tcBorders>
                    <w:top w:val="single" w:color="auto" w:sz="4" w:space="0"/>
                    <w:left w:val="single" w:color="auto" w:sz="4" w:space="0"/>
                    <w:tl2br w:val="nil"/>
                    <w:tr2bl w:val="nil"/>
                  </w:tcBorders>
                  <w:noWrap w:val="0"/>
                  <w:vAlign w:val="center"/>
                </w:tcPr>
                <w:p w14:paraId="3AF33B3A">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cs="Times New Roman"/>
                      <w:color w:val="0000FF"/>
                      <w:kern w:val="0"/>
                      <w:sz w:val="21"/>
                      <w:szCs w:val="21"/>
                      <w:highlight w:val="none"/>
                      <w:lang w:val="en-US" w:eastAsia="zh-CN"/>
                    </w:rPr>
                  </w:pPr>
                  <w:r>
                    <w:rPr>
                      <w:rFonts w:hint="eastAsia" w:cs="Times New Roman"/>
                      <w:color w:val="0000FF"/>
                      <w:kern w:val="0"/>
                      <w:sz w:val="21"/>
                      <w:szCs w:val="21"/>
                      <w:highlight w:val="none"/>
                      <w:lang w:val="en-US" w:eastAsia="zh-CN"/>
                    </w:rPr>
                    <w:t>-</w:t>
                  </w:r>
                </w:p>
              </w:tc>
            </w:tr>
            <w:bookmarkEnd w:id="28"/>
            <w:bookmarkEnd w:id="34"/>
          </w:tbl>
          <w:p w14:paraId="7DFC490B">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s="Times New Roman"/>
                <w:color w:val="0000FF"/>
                <w:sz w:val="24"/>
                <w:highlight w:val="none"/>
                <w:lang w:val="en-US" w:eastAsia="zh-CN"/>
              </w:rPr>
            </w:pPr>
            <w:r>
              <w:rPr>
                <w:rFonts w:hint="default" w:ascii="Times New Roman" w:hAnsi="Times New Roman" w:eastAsia="宋体" w:cs="Times New Roman"/>
                <w:color w:val="0000FF"/>
                <w:sz w:val="24"/>
                <w:highlight w:val="none"/>
                <w:lang w:val="en-US" w:eastAsia="zh-CN"/>
              </w:rPr>
              <w:t>经预测可知，厂界昼、夜间噪声</w:t>
            </w:r>
            <w:r>
              <w:rPr>
                <w:rFonts w:hint="eastAsia" w:ascii="Times New Roman" w:hAnsi="Times New Roman" w:eastAsia="宋体" w:cs="Times New Roman"/>
                <w:color w:val="0000FF"/>
                <w:sz w:val="24"/>
                <w:highlight w:val="none"/>
                <w:lang w:val="en-US" w:eastAsia="zh-CN"/>
              </w:rPr>
              <w:t>贡献</w:t>
            </w:r>
            <w:r>
              <w:rPr>
                <w:rFonts w:hint="default" w:ascii="Times New Roman" w:hAnsi="Times New Roman" w:eastAsia="宋体" w:cs="Times New Roman"/>
                <w:color w:val="0000FF"/>
                <w:sz w:val="24"/>
                <w:highlight w:val="none"/>
                <w:lang w:val="en-US" w:eastAsia="zh-CN"/>
              </w:rPr>
              <w:t>值满足《工业企业厂界环境噪声排放标准》（GB12348-2008）</w:t>
            </w:r>
            <w:r>
              <w:rPr>
                <w:rFonts w:hint="eastAsia" w:ascii="Times New Roman" w:hAnsi="Times New Roman" w:eastAsia="宋体" w:cs="Times New Roman"/>
                <w:color w:val="0000FF"/>
                <w:sz w:val="24"/>
                <w:highlight w:val="none"/>
                <w:lang w:val="en-US" w:eastAsia="zh-CN"/>
              </w:rPr>
              <w:t>3</w:t>
            </w:r>
            <w:r>
              <w:rPr>
                <w:rFonts w:hint="default" w:ascii="Times New Roman" w:hAnsi="Times New Roman" w:eastAsia="宋体" w:cs="Times New Roman"/>
                <w:color w:val="0000FF"/>
                <w:sz w:val="24"/>
                <w:highlight w:val="none"/>
                <w:lang w:val="en-US" w:eastAsia="zh-CN"/>
              </w:rPr>
              <w:t>类标准限值，且周围无声环境敏感目标，项目建设对声环境影响不大。</w:t>
            </w:r>
          </w:p>
          <w:p w14:paraId="53366AC1">
            <w:pPr>
              <w:adjustRightInd w:val="0"/>
              <w:snapToGrid w:val="0"/>
              <w:spacing w:line="360" w:lineRule="auto"/>
              <w:rPr>
                <w:rFonts w:hint="default" w:ascii="Times New Roman" w:hAnsi="Times New Roman" w:cs="Times New Roman"/>
                <w:b/>
                <w:bCs/>
                <w:color w:val="auto"/>
                <w:kern w:val="0"/>
                <w:sz w:val="24"/>
                <w:szCs w:val="24"/>
                <w:highlight w:val="none"/>
              </w:rPr>
            </w:pPr>
            <w:r>
              <w:rPr>
                <w:rFonts w:hint="eastAsia" w:ascii="Times New Roman" w:hAnsi="Times New Roman" w:cs="Times New Roman"/>
                <w:b/>
                <w:bCs/>
                <w:color w:val="auto"/>
                <w:kern w:val="0"/>
                <w:sz w:val="24"/>
                <w:szCs w:val="24"/>
                <w:highlight w:val="none"/>
                <w:lang w:val="en-US" w:eastAsia="zh-CN"/>
              </w:rPr>
              <w:t>4</w:t>
            </w:r>
            <w:r>
              <w:rPr>
                <w:rFonts w:hint="default" w:ascii="Times New Roman" w:hAnsi="Times New Roman" w:cs="Times New Roman"/>
                <w:b/>
                <w:bCs/>
                <w:color w:val="auto"/>
                <w:kern w:val="0"/>
                <w:sz w:val="24"/>
                <w:szCs w:val="24"/>
                <w:highlight w:val="none"/>
                <w:lang w:val="en-US" w:eastAsia="zh-CN"/>
              </w:rPr>
              <w:t>.</w:t>
            </w:r>
            <w:r>
              <w:rPr>
                <w:rFonts w:hint="default" w:ascii="Times New Roman" w:hAnsi="Times New Roman" w:cs="Times New Roman"/>
                <w:b/>
                <w:bCs/>
                <w:color w:val="auto"/>
                <w:kern w:val="0"/>
                <w:sz w:val="24"/>
                <w:szCs w:val="24"/>
                <w:highlight w:val="none"/>
              </w:rPr>
              <w:t>固体废物环境影响分析</w:t>
            </w:r>
          </w:p>
          <w:p w14:paraId="59E346FF">
            <w:pPr>
              <w:pStyle w:val="17"/>
              <w:keepNext w:val="0"/>
              <w:keepLines w:val="0"/>
              <w:pageBreakBefore w:val="0"/>
              <w:widowControl w:val="0"/>
              <w:kinsoku/>
              <w:wordWrap/>
              <w:overflowPunct/>
              <w:topLinePunct w:val="0"/>
              <w:autoSpaceDE/>
              <w:autoSpaceDN/>
              <w:bidi w:val="0"/>
              <w:adjustRightInd/>
              <w:snapToGrid/>
              <w:spacing w:before="0" w:beforeLines="0" w:after="0" w:afterLines="0"/>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本项目固废主要为值班人员生活垃圾、废变压器油、废润滑油、含油抹布</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废磷酸铁锂电池</w:t>
            </w:r>
            <w:r>
              <w:rPr>
                <w:rFonts w:hint="eastAsia" w:ascii="Times New Roman" w:hAnsi="Times New Roman" w:eastAsia="宋体" w:cs="Times New Roman"/>
                <w:color w:val="auto"/>
                <w:sz w:val="24"/>
                <w:szCs w:val="24"/>
                <w:highlight w:val="none"/>
                <w:lang w:val="en-US" w:eastAsia="zh-CN"/>
              </w:rPr>
              <w:t>、废钠离子电池、废旧铅酸蓄电池等</w:t>
            </w:r>
            <w:r>
              <w:rPr>
                <w:rFonts w:hint="default" w:ascii="Times New Roman" w:hAnsi="Times New Roman" w:eastAsia="宋体" w:cs="Times New Roman"/>
                <w:color w:val="auto"/>
                <w:sz w:val="24"/>
                <w:szCs w:val="24"/>
                <w:highlight w:val="none"/>
                <w:lang w:val="en-US" w:eastAsia="zh-CN"/>
              </w:rPr>
              <w:t>。</w:t>
            </w:r>
          </w:p>
          <w:p w14:paraId="403B144E">
            <w:pPr>
              <w:tabs>
                <w:tab w:val="left" w:pos="6480"/>
              </w:tabs>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（1）生活垃圾</w:t>
            </w:r>
          </w:p>
          <w:p w14:paraId="5748DD16">
            <w:pPr>
              <w:tabs>
                <w:tab w:val="left" w:pos="6480"/>
              </w:tabs>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eastAsia" w:ascii="Times New Roman" w:hAnsi="Times New Roman" w:eastAsia="宋体" w:cs="Times New Roman"/>
                <w:color w:val="auto"/>
                <w:sz w:val="24"/>
                <w:szCs w:val="24"/>
                <w:highlight w:val="none"/>
                <w:lang w:val="en-US" w:eastAsia="zh-CN"/>
              </w:rPr>
              <w:t>升压站内运维18</w:t>
            </w:r>
            <w:r>
              <w:rPr>
                <w:rFonts w:hint="default" w:ascii="Times New Roman" w:hAnsi="Times New Roman" w:eastAsia="宋体" w:cs="Times New Roman"/>
                <w:color w:val="auto"/>
                <w:sz w:val="24"/>
                <w:szCs w:val="24"/>
                <w:highlight w:val="none"/>
                <w:lang w:val="en-US" w:eastAsia="zh-CN"/>
              </w:rPr>
              <w:t>人，年工作日365天，生活垃圾产生量按0.5kg/人天计算，则生活垃圾产生量为</w:t>
            </w:r>
            <w:r>
              <w:rPr>
                <w:rFonts w:hint="eastAsia" w:eastAsia="宋体" w:cs="Times New Roman"/>
                <w:color w:val="auto"/>
                <w:sz w:val="24"/>
                <w:szCs w:val="24"/>
                <w:highlight w:val="none"/>
                <w:lang w:val="en-US" w:eastAsia="zh-CN"/>
              </w:rPr>
              <w:t>3.3</w:t>
            </w:r>
            <w:r>
              <w:rPr>
                <w:rFonts w:hint="default" w:ascii="Times New Roman" w:hAnsi="Times New Roman" w:eastAsia="宋体" w:cs="Times New Roman"/>
                <w:color w:val="auto"/>
                <w:sz w:val="24"/>
                <w:szCs w:val="24"/>
                <w:highlight w:val="none"/>
                <w:lang w:val="en-US" w:eastAsia="zh-CN"/>
              </w:rPr>
              <w:t>t/a。生活垃圾集中收集后，</w:t>
            </w:r>
            <w:r>
              <w:rPr>
                <w:rFonts w:hint="eastAsia" w:ascii="Times New Roman" w:hAnsi="Times New Roman" w:eastAsia="宋体" w:cs="Times New Roman"/>
                <w:color w:val="auto"/>
                <w:sz w:val="24"/>
                <w:szCs w:val="24"/>
                <w:highlight w:val="none"/>
                <w:lang w:val="en-US" w:eastAsia="zh-CN"/>
              </w:rPr>
              <w:t>交由环卫部门处理</w:t>
            </w:r>
            <w:r>
              <w:rPr>
                <w:rFonts w:hint="default" w:ascii="Times New Roman" w:hAnsi="Times New Roman" w:eastAsia="宋体" w:cs="Times New Roman"/>
                <w:color w:val="auto"/>
                <w:sz w:val="24"/>
                <w:szCs w:val="24"/>
                <w:highlight w:val="none"/>
                <w:lang w:val="en-US" w:eastAsia="zh-CN"/>
              </w:rPr>
              <w:t>。</w:t>
            </w:r>
          </w:p>
          <w:p w14:paraId="56B2C3DB">
            <w:pPr>
              <w:tabs>
                <w:tab w:val="left" w:pos="6480"/>
              </w:tabs>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）废变压器油</w:t>
            </w:r>
          </w:p>
          <w:p w14:paraId="25DC5EEF">
            <w:pPr>
              <w:tabs>
                <w:tab w:val="left" w:pos="6480"/>
              </w:tabs>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本项目220kV升压站内的</w:t>
            </w:r>
            <w:r>
              <w:rPr>
                <w:rFonts w:hint="eastAsia"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台主变为油浸式，为了绝缘和冷却的需要，在变压器外壳内装有大量的变压器油，一般在检修及事故情况下会产生事故废油</w:t>
            </w:r>
            <w:r>
              <w:rPr>
                <w:rFonts w:hint="eastAsia"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产生量为0.5t/a。</w:t>
            </w:r>
          </w:p>
          <w:p w14:paraId="20A905CF">
            <w:pPr>
              <w:tabs>
                <w:tab w:val="left" w:pos="6480"/>
              </w:tabs>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电力设备典型消防规程》（DL5027-2015）“10.3.7变压器事故排油应符合下列要求：1设置有带油水分离措施的总事故油池时，位于地面之上的变压器对应的总事故油池容量应按最大一台变压器油量的60%确定；位于地面之下的变压器对应的总事故油池容量应按最大一台主变压器油量的100%确定。2事故油坑设有卵石层时，应定期检查和清理，以不被淤泥、灰渣及积土所堵塞。”根据《火力发电厂与变电站设计防火标准》(GB50229-2019)6.7.8户外单台油量为1000kg以上的电气设备，应设置贮油或挡油设施，其容积宜按设备油量的20%设计，并能将事故油排至总事故贮油池，总事故贮油池的容量应按其接入的油量最大一台设备确定。</w:t>
            </w:r>
          </w:p>
          <w:p w14:paraId="2D3A2D24">
            <w:pPr>
              <w:tabs>
                <w:tab w:val="left" w:pos="6480"/>
              </w:tabs>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本项目在220kV升压内设置一个事故油池（</w:t>
            </w:r>
            <w:r>
              <w:rPr>
                <w:rFonts w:hint="eastAsia" w:eastAsia="宋体" w:cs="Times New Roman"/>
                <w:color w:val="auto"/>
                <w:sz w:val="24"/>
                <w:szCs w:val="24"/>
                <w:highlight w:val="none"/>
                <w:lang w:val="en-US" w:eastAsia="zh-CN"/>
              </w:rPr>
              <w:t>100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w:t>
            </w:r>
            <w:r>
              <w:rPr>
                <w:rFonts w:hint="eastAsia" w:eastAsia="宋体" w:cs="Times New Roman"/>
                <w:color w:val="auto"/>
                <w:sz w:val="24"/>
                <w:szCs w:val="24"/>
                <w:highlight w:val="none"/>
                <w:lang w:val="en-US" w:eastAsia="zh-CN"/>
              </w:rPr>
              <w:t>240</w:t>
            </w:r>
            <w:r>
              <w:rPr>
                <w:rFonts w:hint="default" w:ascii="Times New Roman" w:hAnsi="Times New Roman" w:eastAsia="宋体" w:cs="Times New Roman"/>
                <w:bCs/>
                <w:color w:val="auto"/>
                <w:sz w:val="24"/>
                <w:szCs w:val="24"/>
                <w:highlight w:val="none"/>
                <w:lang w:val="en-US" w:eastAsia="zh-CN"/>
              </w:rPr>
              <w:t>MVA</w:t>
            </w:r>
            <w:r>
              <w:rPr>
                <w:rFonts w:hint="default" w:ascii="Times New Roman" w:hAnsi="Times New Roman" w:eastAsia="宋体" w:cs="Times New Roman"/>
                <w:color w:val="auto"/>
                <w:sz w:val="24"/>
                <w:szCs w:val="24"/>
                <w:highlight w:val="none"/>
                <w:lang w:val="en-US" w:eastAsia="zh-CN"/>
              </w:rPr>
              <w:t>油重约</w:t>
            </w:r>
            <w:r>
              <w:rPr>
                <w:rFonts w:hint="eastAsia" w:eastAsia="宋体" w:cs="Times New Roman"/>
                <w:color w:val="auto"/>
                <w:sz w:val="24"/>
                <w:szCs w:val="24"/>
                <w:highlight w:val="none"/>
                <w:lang w:val="en-US" w:eastAsia="zh-CN"/>
              </w:rPr>
              <w:t>51.6</w:t>
            </w:r>
            <w:r>
              <w:rPr>
                <w:rFonts w:hint="default" w:ascii="Times New Roman" w:hAnsi="Times New Roman" w:eastAsia="宋体" w:cs="Times New Roman"/>
                <w:color w:val="auto"/>
                <w:sz w:val="24"/>
                <w:szCs w:val="24"/>
                <w:highlight w:val="none"/>
                <w:lang w:val="en-US" w:eastAsia="zh-CN"/>
              </w:rPr>
              <w:t>t(约</w:t>
            </w:r>
            <w:r>
              <w:rPr>
                <w:rFonts w:hint="eastAsia" w:eastAsia="宋体" w:cs="Times New Roman"/>
                <w:color w:val="auto"/>
                <w:sz w:val="24"/>
                <w:szCs w:val="24"/>
                <w:highlight w:val="none"/>
                <w:lang w:val="en-US" w:eastAsia="zh-CN"/>
              </w:rPr>
              <w:t>58</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)，而事故油池容积</w:t>
            </w:r>
            <w:r>
              <w:rPr>
                <w:rFonts w:hint="eastAsia" w:eastAsia="宋体" w:cs="Times New Roman"/>
                <w:color w:val="auto"/>
                <w:sz w:val="24"/>
                <w:szCs w:val="24"/>
                <w:highlight w:val="none"/>
                <w:lang w:val="en-US" w:eastAsia="zh-CN"/>
              </w:rPr>
              <w:t>100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，满足废变压器油100%排放需求；本项目事故油池采取了防渗处理，防渗等级为P6，池内敷设50mm卵石层，厚度不小于250mm，事故油池定期检查和清理，以不被淤泥、灰渣及积土所堵塞。</w:t>
            </w:r>
          </w:p>
          <w:p w14:paraId="5939D18A">
            <w:pPr>
              <w:tabs>
                <w:tab w:val="left" w:pos="6480"/>
              </w:tabs>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根据《国家危险废物名录(2021年版)》，废变压器油废物代码“900-220-08”。因废变压器油由变压器发生事故状态</w:t>
            </w:r>
            <w:r>
              <w:rPr>
                <w:rFonts w:hint="eastAsia" w:eastAsia="宋体" w:cs="Times New Roman"/>
                <w:color w:val="auto"/>
                <w:sz w:val="24"/>
                <w:szCs w:val="24"/>
                <w:highlight w:val="none"/>
                <w:lang w:val="en-US" w:eastAsia="zh-CN"/>
              </w:rPr>
              <w:t>及检修时</w:t>
            </w:r>
            <w:r>
              <w:rPr>
                <w:rFonts w:hint="default" w:ascii="Times New Roman" w:hAnsi="Times New Roman" w:eastAsia="宋体" w:cs="Times New Roman"/>
                <w:color w:val="auto"/>
                <w:sz w:val="24"/>
                <w:szCs w:val="24"/>
                <w:highlight w:val="none"/>
                <w:lang w:val="en-US" w:eastAsia="zh-CN"/>
              </w:rPr>
              <w:t>产生，事故油池主要起临时收集贮存作用，</w:t>
            </w:r>
            <w:r>
              <w:rPr>
                <w:rFonts w:hint="eastAsia" w:eastAsia="宋体" w:cs="Times New Roman"/>
                <w:color w:val="auto"/>
                <w:sz w:val="24"/>
                <w:szCs w:val="24"/>
                <w:highlight w:val="none"/>
                <w:lang w:val="en-US" w:eastAsia="zh-CN"/>
              </w:rPr>
              <w:t>在事故发生后或检修后，将事故池内废变压器油统一收集，</w:t>
            </w:r>
            <w:r>
              <w:rPr>
                <w:rFonts w:hint="default" w:ascii="Times New Roman" w:hAnsi="Times New Roman" w:eastAsia="宋体" w:cs="Times New Roman"/>
                <w:color w:val="auto"/>
                <w:sz w:val="24"/>
                <w:szCs w:val="24"/>
                <w:highlight w:val="none"/>
                <w:lang w:val="en-US" w:eastAsia="zh-CN"/>
              </w:rPr>
              <w:t>在</w:t>
            </w:r>
            <w:r>
              <w:rPr>
                <w:rFonts w:hint="eastAsia" w:eastAsia="宋体" w:cs="Times New Roman"/>
                <w:color w:val="auto"/>
                <w:sz w:val="24"/>
                <w:szCs w:val="24"/>
                <w:highlight w:val="none"/>
                <w:lang w:val="en-US" w:eastAsia="zh-CN"/>
              </w:rPr>
              <w:t>危废贮存库</w:t>
            </w:r>
            <w:r>
              <w:rPr>
                <w:rFonts w:hint="default" w:ascii="Times New Roman" w:hAnsi="Times New Roman" w:eastAsia="宋体" w:cs="Times New Roman"/>
                <w:color w:val="auto"/>
                <w:sz w:val="24"/>
                <w:szCs w:val="24"/>
                <w:highlight w:val="none"/>
                <w:lang w:val="en-US" w:eastAsia="zh-CN"/>
              </w:rPr>
              <w:t>暂存，定期交由具有相关资质的单位进行回收处理，不在升压站长时间储存。</w:t>
            </w:r>
          </w:p>
          <w:p w14:paraId="078D8CB6">
            <w:pPr>
              <w:tabs>
                <w:tab w:val="left" w:pos="6480"/>
              </w:tabs>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采取以上措施后，非正常工况下，变压器的事故废油基本不会对地下水环境和土壤环境的产生影响。</w:t>
            </w:r>
          </w:p>
          <w:p w14:paraId="58C9658A">
            <w:pPr>
              <w:tabs>
                <w:tab w:val="left" w:pos="6480"/>
              </w:tabs>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）废润滑油</w:t>
            </w:r>
          </w:p>
          <w:p w14:paraId="6E805E10">
            <w:pPr>
              <w:tabs>
                <w:tab w:val="left" w:pos="6480"/>
              </w:tabs>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在设备维修维护过程产生，会产生废润滑油，产生量约为</w:t>
            </w:r>
            <w:r>
              <w:rPr>
                <w:rFonts w:hint="eastAsia" w:eastAsia="宋体" w:cs="Times New Roman"/>
                <w:color w:val="auto"/>
                <w:sz w:val="24"/>
                <w:szCs w:val="24"/>
                <w:highlight w:val="none"/>
                <w:lang w:val="en-US" w:eastAsia="zh-CN"/>
              </w:rPr>
              <w:t>0.2</w:t>
            </w:r>
            <w:r>
              <w:rPr>
                <w:rFonts w:hint="default" w:ascii="Times New Roman" w:hAnsi="Times New Roman" w:eastAsia="宋体" w:cs="Times New Roman"/>
                <w:color w:val="auto"/>
                <w:sz w:val="24"/>
                <w:szCs w:val="24"/>
                <w:highlight w:val="none"/>
                <w:lang w:val="en-US" w:eastAsia="zh-CN"/>
              </w:rPr>
              <w:t>t/a，根据《国家危险废物名录》（2021年），废润滑油为危险废物，废物代码为900-214-08，废润滑油暂存于</w:t>
            </w:r>
            <w:r>
              <w:rPr>
                <w:rFonts w:hint="eastAsia" w:eastAsia="宋体" w:cs="Times New Roman"/>
                <w:color w:val="auto"/>
                <w:sz w:val="24"/>
                <w:szCs w:val="24"/>
                <w:highlight w:val="none"/>
                <w:lang w:val="en-US" w:eastAsia="zh-CN"/>
              </w:rPr>
              <w:t>危废贮存库</w:t>
            </w:r>
            <w:r>
              <w:rPr>
                <w:rFonts w:hint="default" w:ascii="Times New Roman" w:hAnsi="Times New Roman" w:eastAsia="宋体" w:cs="Times New Roman"/>
                <w:color w:val="auto"/>
                <w:sz w:val="24"/>
                <w:szCs w:val="24"/>
                <w:highlight w:val="none"/>
                <w:lang w:val="en-US" w:eastAsia="zh-CN"/>
              </w:rPr>
              <w:t>，定期交由危废处理资质单位处理。</w:t>
            </w:r>
          </w:p>
          <w:p w14:paraId="4F6FCCF7">
            <w:pPr>
              <w:numPr>
                <w:ilvl w:val="0"/>
                <w:numId w:val="5"/>
              </w:numPr>
              <w:tabs>
                <w:tab w:val="left" w:pos="6480"/>
              </w:tabs>
              <w:spacing w:line="360" w:lineRule="auto"/>
              <w:ind w:left="-60" w:leftChars="0" w:firstLine="480" w:firstLineChars="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含油抹布</w:t>
            </w:r>
          </w:p>
          <w:p w14:paraId="76046517">
            <w:pPr>
              <w:wordWrap w:val="0"/>
              <w:spacing w:line="360" w:lineRule="auto"/>
              <w:ind w:firstLine="482"/>
              <w:jc w:val="both"/>
              <w:rPr>
                <w:rFonts w:hint="eastAsia" w:ascii="Times New Roman" w:hAnsi="Times New Roman" w:cs="Times New Roman"/>
                <w:bCs/>
                <w:color w:val="auto"/>
                <w:sz w:val="24"/>
                <w:highlight w:val="none"/>
                <w:shd w:val="clear" w:color="auto" w:fill="auto"/>
                <w:lang w:val="en-US" w:eastAsia="zh-CN"/>
              </w:rPr>
            </w:pPr>
            <w:r>
              <w:rPr>
                <w:rFonts w:hint="default" w:ascii="Times New Roman" w:hAnsi="Times New Roman" w:eastAsia="宋体" w:cs="Times New Roman"/>
                <w:color w:val="auto"/>
                <w:sz w:val="24"/>
                <w:szCs w:val="24"/>
                <w:highlight w:val="none"/>
                <w:lang w:val="en-US" w:eastAsia="zh-CN"/>
              </w:rPr>
              <w:t>含油抹布在设备维修维护过程产生，产生量约0.01t/a，</w:t>
            </w:r>
            <w:r>
              <w:rPr>
                <w:rFonts w:hint="eastAsia" w:ascii="Times New Roman" w:hAnsi="Times New Roman" w:cs="Times New Roman"/>
                <w:bCs/>
                <w:color w:val="auto"/>
                <w:sz w:val="24"/>
                <w:highlight w:val="none"/>
                <w:shd w:val="clear" w:color="auto" w:fill="auto"/>
                <w:lang w:val="en-US" w:eastAsia="zh-CN"/>
              </w:rPr>
              <w:t>根据</w:t>
            </w:r>
            <w:r>
              <w:rPr>
                <w:rFonts w:hint="default" w:ascii="Times New Roman" w:hAnsi="Times New Roman" w:cs="Times New Roman"/>
                <w:bCs/>
                <w:color w:val="auto"/>
                <w:sz w:val="24"/>
                <w:highlight w:val="none"/>
                <w:shd w:val="clear" w:color="auto" w:fill="auto"/>
              </w:rPr>
              <w:t>《国家危险废物名录》（2021年版）</w:t>
            </w:r>
            <w:r>
              <w:rPr>
                <w:rFonts w:hint="eastAsia" w:ascii="Times New Roman" w:hAnsi="Times New Roman" w:cs="Times New Roman"/>
                <w:bCs/>
                <w:color w:val="auto"/>
                <w:sz w:val="24"/>
                <w:highlight w:val="none"/>
                <w:shd w:val="clear" w:color="auto" w:fill="auto"/>
                <w:lang w:eastAsia="zh-CN"/>
              </w:rPr>
              <w:t>，含油抹布</w:t>
            </w:r>
            <w:r>
              <w:rPr>
                <w:rFonts w:hint="eastAsia" w:ascii="Times New Roman" w:hAnsi="Times New Roman" w:cs="Times New Roman"/>
                <w:bCs/>
                <w:color w:val="auto"/>
                <w:sz w:val="24"/>
                <w:highlight w:val="none"/>
                <w:shd w:val="clear" w:color="auto" w:fill="auto"/>
                <w:lang w:val="en-US" w:eastAsia="zh-CN"/>
              </w:rPr>
              <w:t>废物，废物代码为900-041-49。环评要求建设单位对</w:t>
            </w:r>
            <w:r>
              <w:rPr>
                <w:rFonts w:hint="default" w:ascii="Times New Roman" w:hAnsi="Times New Roman" w:cs="Times New Roman"/>
                <w:bCs/>
                <w:color w:val="auto"/>
                <w:sz w:val="24"/>
                <w:highlight w:val="none"/>
                <w:shd w:val="clear" w:color="auto" w:fill="auto"/>
              </w:rPr>
              <w:t>含油抹布</w:t>
            </w:r>
            <w:r>
              <w:rPr>
                <w:rFonts w:hint="eastAsia" w:ascii="Times New Roman" w:hAnsi="Times New Roman" w:cs="Times New Roman"/>
                <w:bCs/>
                <w:color w:val="auto"/>
                <w:sz w:val="24"/>
                <w:highlight w:val="none"/>
                <w:shd w:val="clear" w:color="auto" w:fill="auto"/>
                <w:lang w:val="en-US" w:eastAsia="zh-CN"/>
              </w:rPr>
              <w:t>进行</w:t>
            </w:r>
            <w:r>
              <w:rPr>
                <w:rFonts w:hint="default" w:ascii="Times New Roman" w:hAnsi="Times New Roman" w:cs="Times New Roman"/>
                <w:bCs/>
                <w:color w:val="auto"/>
                <w:sz w:val="24"/>
                <w:highlight w:val="none"/>
                <w:shd w:val="clear" w:color="auto" w:fill="auto"/>
              </w:rPr>
              <w:t>分类收集，</w:t>
            </w:r>
            <w:r>
              <w:rPr>
                <w:rFonts w:hint="default" w:ascii="Times New Roman" w:hAnsi="Times New Roman" w:eastAsia="宋体" w:cs="Times New Roman"/>
                <w:color w:val="auto"/>
                <w:sz w:val="24"/>
                <w:szCs w:val="24"/>
                <w:highlight w:val="none"/>
                <w:lang w:val="en-US" w:eastAsia="zh-CN"/>
              </w:rPr>
              <w:t>暂存于</w:t>
            </w:r>
            <w:r>
              <w:rPr>
                <w:rFonts w:hint="eastAsia" w:eastAsia="宋体" w:cs="Times New Roman"/>
                <w:color w:val="auto"/>
                <w:sz w:val="24"/>
                <w:szCs w:val="24"/>
                <w:highlight w:val="none"/>
                <w:lang w:val="en-US" w:eastAsia="zh-CN"/>
              </w:rPr>
              <w:t>危废贮存库</w:t>
            </w:r>
            <w:r>
              <w:rPr>
                <w:rFonts w:hint="default" w:ascii="Times New Roman" w:hAnsi="Times New Roman" w:eastAsia="宋体" w:cs="Times New Roman"/>
                <w:color w:val="auto"/>
                <w:sz w:val="24"/>
                <w:szCs w:val="24"/>
                <w:highlight w:val="none"/>
                <w:lang w:val="en-US" w:eastAsia="zh-CN"/>
              </w:rPr>
              <w:t>，定期交由危废处理资质单位处理</w:t>
            </w:r>
            <w:r>
              <w:rPr>
                <w:rFonts w:hint="eastAsia" w:ascii="Times New Roman" w:hAnsi="Times New Roman" w:cs="Times New Roman"/>
                <w:bCs/>
                <w:color w:val="auto"/>
                <w:sz w:val="24"/>
                <w:highlight w:val="none"/>
                <w:shd w:val="clear" w:color="auto" w:fill="auto"/>
                <w:lang w:val="en-US" w:eastAsia="zh-CN"/>
              </w:rPr>
              <w:t>。</w:t>
            </w:r>
          </w:p>
          <w:p w14:paraId="73136A83">
            <w:pPr>
              <w:pStyle w:val="17"/>
              <w:keepNext w:val="0"/>
              <w:keepLines w:val="0"/>
              <w:pageBreakBefore w:val="0"/>
              <w:widowControl w:val="0"/>
              <w:kinsoku/>
              <w:wordWrap/>
              <w:overflowPunct/>
              <w:topLinePunct w:val="0"/>
              <w:autoSpaceDE/>
              <w:autoSpaceDN/>
              <w:bidi w:val="0"/>
              <w:adjustRightInd/>
              <w:snapToGrid/>
              <w:spacing w:before="0" w:beforeLines="0" w:after="0" w:afterLines="0"/>
              <w:ind w:left="0" w:leftChars="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）废磷酸铁锂电池</w:t>
            </w:r>
            <w:r>
              <w:rPr>
                <w:rFonts w:hint="eastAsia"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rPr>
              <w:t>废钠离子电池</w:t>
            </w:r>
          </w:p>
          <w:p w14:paraId="288B6690">
            <w:pPr>
              <w:pStyle w:val="17"/>
              <w:keepNext w:val="0"/>
              <w:keepLines w:val="0"/>
              <w:pageBreakBefore w:val="0"/>
              <w:widowControl w:val="0"/>
              <w:kinsoku/>
              <w:wordWrap/>
              <w:overflowPunct/>
              <w:topLinePunct w:val="0"/>
              <w:autoSpaceDE/>
              <w:autoSpaceDN/>
              <w:bidi w:val="0"/>
              <w:adjustRightInd/>
              <w:snapToGrid/>
              <w:spacing w:before="0" w:beforeLines="0" w:after="0" w:afterLines="0"/>
              <w:ind w:left="0" w:leftChars="0" w:firstLine="480" w:firstLineChars="200"/>
              <w:textAlignment w:val="auto"/>
              <w:rPr>
                <w:rFonts w:hint="default"/>
              </w:rPr>
            </w:pPr>
            <w:r>
              <w:rPr>
                <w:rFonts w:hint="default" w:ascii="Times New Roman" w:hAnsi="Times New Roman" w:eastAsia="宋体" w:cs="Times New Roman"/>
                <w:color w:val="auto"/>
                <w:kern w:val="2"/>
                <w:sz w:val="24"/>
                <w:szCs w:val="24"/>
                <w:highlight w:val="none"/>
                <w:lang w:val="en-US" w:eastAsia="zh-CN" w:bidi="ar-SA"/>
              </w:rPr>
              <w:t>本项目采用磷酸铁锂电池</w:t>
            </w:r>
            <w:r>
              <w:rPr>
                <w:rFonts w:hint="eastAsia"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rPr>
              <w:t>钠离子电池</w:t>
            </w:r>
            <w:r>
              <w:rPr>
                <w:rFonts w:hint="default" w:ascii="Times New Roman" w:hAnsi="Times New Roman" w:eastAsia="宋体" w:cs="Times New Roman"/>
                <w:color w:val="auto"/>
                <w:kern w:val="2"/>
                <w:sz w:val="24"/>
                <w:szCs w:val="24"/>
                <w:highlight w:val="none"/>
                <w:lang w:val="en-US" w:eastAsia="zh-CN" w:bidi="ar-SA"/>
              </w:rPr>
              <w:t>储能，磷酸铁锂电池</w:t>
            </w:r>
            <w:r>
              <w:rPr>
                <w:rFonts w:hint="eastAsia"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rPr>
              <w:t>钠离子电池</w:t>
            </w:r>
            <w:r>
              <w:rPr>
                <w:rFonts w:hint="default" w:ascii="Times New Roman" w:hAnsi="Times New Roman" w:eastAsia="宋体" w:cs="Times New Roman"/>
                <w:color w:val="auto"/>
                <w:kern w:val="2"/>
                <w:sz w:val="24"/>
                <w:szCs w:val="24"/>
                <w:highlight w:val="none"/>
                <w:lang w:val="en-US" w:eastAsia="zh-CN" w:bidi="ar-SA"/>
              </w:rPr>
              <w:t>的平均寿命为8-10年，需定期更换。废磷酸铁锂电池产生量为</w:t>
            </w:r>
            <w:r>
              <w:rPr>
                <w:rFonts w:hint="eastAsia" w:ascii="Times New Roman" w:hAnsi="Times New Roman" w:eastAsia="宋体" w:cs="Times New Roman"/>
                <w:color w:val="auto"/>
                <w:kern w:val="2"/>
                <w:sz w:val="24"/>
                <w:szCs w:val="24"/>
                <w:highlight w:val="none"/>
                <w:lang w:val="en-US" w:eastAsia="zh-CN" w:bidi="ar-SA"/>
              </w:rPr>
              <w:t>74</w:t>
            </w:r>
            <w:r>
              <w:rPr>
                <w:rFonts w:hint="default" w:ascii="Times New Roman" w:hAnsi="Times New Roman" w:eastAsia="宋体" w:cs="Times New Roman"/>
                <w:color w:val="auto"/>
                <w:kern w:val="2"/>
                <w:sz w:val="24"/>
                <w:szCs w:val="24"/>
                <w:highlight w:val="none"/>
                <w:lang w:val="en-US" w:eastAsia="zh-CN" w:bidi="ar-SA"/>
              </w:rPr>
              <w:t>套/8a，</w:t>
            </w:r>
            <w:r>
              <w:rPr>
                <w:rFonts w:hint="eastAsia" w:ascii="Times New Roman" w:hAnsi="Times New Roman" w:eastAsia="宋体" w:cs="Times New Roman"/>
                <w:color w:val="auto"/>
                <w:sz w:val="24"/>
                <w:szCs w:val="24"/>
                <w:highlight w:val="none"/>
                <w:lang w:val="en-US" w:eastAsia="zh-CN"/>
              </w:rPr>
              <w:t>废钠离子电池产生量为3套</w:t>
            </w:r>
            <w:r>
              <w:rPr>
                <w:rFonts w:hint="default" w:ascii="Times New Roman" w:hAnsi="Times New Roman" w:eastAsia="宋体" w:cs="Times New Roman"/>
                <w:color w:val="auto"/>
                <w:kern w:val="2"/>
                <w:sz w:val="24"/>
                <w:szCs w:val="24"/>
                <w:highlight w:val="none"/>
                <w:lang w:val="en-US" w:eastAsia="zh-CN" w:bidi="ar-SA"/>
              </w:rPr>
              <w:t>/8a</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为一般工业固废，</w:t>
            </w:r>
            <w:r>
              <w:rPr>
                <w:rFonts w:hint="default" w:ascii="Times New Roman" w:hAnsi="Times New Roman" w:eastAsia="宋体" w:cs="Times New Roman"/>
                <w:color w:val="auto"/>
                <w:spacing w:val="-6"/>
                <w:sz w:val="24"/>
                <w:szCs w:val="24"/>
                <w:highlight w:val="none"/>
                <w:lang w:val="en-US" w:eastAsia="zh-CN"/>
              </w:rPr>
              <w:t>根据《固体废物分类与代码</w:t>
            </w:r>
            <w:r>
              <w:rPr>
                <w:rFonts w:hint="eastAsia" w:eastAsia="宋体" w:cs="Times New Roman"/>
                <w:color w:val="auto"/>
                <w:spacing w:val="-6"/>
                <w:sz w:val="24"/>
                <w:szCs w:val="24"/>
                <w:highlight w:val="none"/>
                <w:lang w:val="en-US" w:eastAsia="zh-CN"/>
              </w:rPr>
              <w:t>目录</w:t>
            </w:r>
            <w:r>
              <w:rPr>
                <w:rFonts w:hint="default" w:ascii="Times New Roman" w:hAnsi="Times New Roman" w:eastAsia="宋体" w:cs="Times New Roman"/>
                <w:color w:val="auto"/>
                <w:spacing w:val="-6"/>
                <w:sz w:val="24"/>
                <w:szCs w:val="24"/>
                <w:highlight w:val="none"/>
                <w:lang w:val="en-US" w:eastAsia="zh-CN"/>
              </w:rPr>
              <w:t>》，</w:t>
            </w:r>
            <w:r>
              <w:rPr>
                <w:rFonts w:hint="default" w:ascii="Times New Roman" w:hAnsi="Times New Roman" w:eastAsia="宋体" w:cs="Times New Roman"/>
                <w:color w:val="auto"/>
                <w:kern w:val="2"/>
                <w:sz w:val="24"/>
                <w:szCs w:val="24"/>
                <w:highlight w:val="none"/>
                <w:lang w:val="en-US" w:eastAsia="zh-CN" w:bidi="ar-SA"/>
              </w:rPr>
              <w:t>废磷酸铁锂电池</w:t>
            </w:r>
            <w:r>
              <w:rPr>
                <w:rFonts w:hint="eastAsia"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rPr>
              <w:t>废钠离子电池</w:t>
            </w:r>
            <w:r>
              <w:rPr>
                <w:rFonts w:hint="default" w:ascii="Times New Roman" w:hAnsi="Times New Roman" w:eastAsia="宋体" w:cs="Times New Roman"/>
                <w:color w:val="auto"/>
                <w:spacing w:val="-6"/>
                <w:sz w:val="24"/>
                <w:szCs w:val="24"/>
                <w:highlight w:val="none"/>
                <w:lang w:val="en-US" w:eastAsia="zh-CN"/>
              </w:rPr>
              <w:t>类别代码</w:t>
            </w:r>
            <w:r>
              <w:rPr>
                <w:rFonts w:hint="eastAsia" w:eastAsia="宋体" w:cs="Times New Roman"/>
                <w:color w:val="auto"/>
                <w:spacing w:val="-6"/>
                <w:sz w:val="24"/>
                <w:szCs w:val="24"/>
                <w:highlight w:val="none"/>
                <w:lang w:val="en-US" w:eastAsia="zh-CN"/>
              </w:rPr>
              <w:t>900-012-S17</w:t>
            </w:r>
            <w:r>
              <w:rPr>
                <w:rFonts w:hint="default" w:ascii="Times New Roman" w:hAnsi="Times New Roman" w:eastAsia="宋体" w:cs="Times New Roman"/>
                <w:color w:val="auto"/>
                <w:spacing w:val="-6"/>
                <w:sz w:val="24"/>
                <w:szCs w:val="24"/>
                <w:highlight w:val="none"/>
                <w:lang w:val="en-US" w:eastAsia="zh-CN"/>
              </w:rPr>
              <w:t>，</w:t>
            </w:r>
            <w:r>
              <w:rPr>
                <w:rFonts w:hint="default" w:ascii="Times New Roman" w:hAnsi="Times New Roman" w:eastAsia="宋体" w:cs="Times New Roman"/>
                <w:color w:val="auto"/>
                <w:kern w:val="2"/>
                <w:sz w:val="24"/>
                <w:szCs w:val="24"/>
                <w:highlight w:val="none"/>
                <w:lang w:val="en-US" w:eastAsia="zh-CN" w:bidi="ar-SA"/>
              </w:rPr>
              <w:t>由厂家回收。</w:t>
            </w:r>
          </w:p>
          <w:p w14:paraId="7F367D30">
            <w:pPr>
              <w:keepNext w:val="0"/>
              <w:keepLines w:val="0"/>
              <w:pageBreakBefore w:val="0"/>
              <w:widowControl w:val="0"/>
              <w:numPr>
                <w:ilvl w:val="0"/>
                <w:numId w:val="0"/>
              </w:numPr>
              <w:tabs>
                <w:tab w:val="left" w:pos="6480"/>
              </w:tabs>
              <w:kinsoku/>
              <w:wordWrap/>
              <w:overflowPunct/>
              <w:topLinePunct w:val="0"/>
              <w:autoSpaceDE/>
              <w:autoSpaceDN/>
              <w:bidi w:val="0"/>
              <w:adjustRightInd/>
              <w:snapToGrid/>
              <w:spacing w:line="360" w:lineRule="auto"/>
              <w:ind w:left="420" w:leftChars="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废旧</w:t>
            </w:r>
            <w:r>
              <w:rPr>
                <w:rFonts w:hint="eastAsia" w:ascii="Times New Roman" w:hAnsi="Times New Roman" w:eastAsia="宋体" w:cs="Times New Roman"/>
                <w:color w:val="auto"/>
                <w:sz w:val="24"/>
                <w:szCs w:val="24"/>
                <w:highlight w:val="none"/>
                <w:lang w:val="en-US" w:eastAsia="zh-CN"/>
              </w:rPr>
              <w:t>铅</w:t>
            </w:r>
            <w:r>
              <w:rPr>
                <w:rFonts w:hint="default" w:ascii="Times New Roman" w:hAnsi="Times New Roman" w:eastAsia="宋体" w:cs="Times New Roman"/>
                <w:color w:val="auto"/>
                <w:sz w:val="24"/>
                <w:szCs w:val="24"/>
                <w:highlight w:val="none"/>
                <w:lang w:val="en-US" w:eastAsia="zh-CN"/>
              </w:rPr>
              <w:t>蓄电池</w:t>
            </w:r>
          </w:p>
          <w:p w14:paraId="13B55912">
            <w:pPr>
              <w:keepNext w:val="0"/>
              <w:keepLines w:val="0"/>
              <w:pageBreakBefore w:val="0"/>
              <w:widowControl w:val="0"/>
              <w:numPr>
                <w:ilvl w:val="0"/>
                <w:numId w:val="0"/>
              </w:numPr>
              <w:tabs>
                <w:tab w:val="left" w:pos="6480"/>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升压站内的主变运行过程中使用的</w:t>
            </w:r>
            <w:r>
              <w:rPr>
                <w:rFonts w:hint="eastAsia" w:ascii="Times New Roman" w:hAnsi="Times New Roman" w:eastAsia="宋体" w:cs="Times New Roman"/>
                <w:color w:val="auto"/>
                <w:sz w:val="24"/>
                <w:szCs w:val="24"/>
                <w:highlight w:val="none"/>
                <w:lang w:val="en-US" w:eastAsia="zh-CN"/>
              </w:rPr>
              <w:t>备用电源</w:t>
            </w:r>
            <w:r>
              <w:rPr>
                <w:rFonts w:hint="default" w:ascii="Times New Roman" w:hAnsi="Times New Roman" w:eastAsia="宋体" w:cs="Times New Roman"/>
                <w:color w:val="auto"/>
                <w:sz w:val="24"/>
                <w:szCs w:val="24"/>
                <w:highlight w:val="none"/>
                <w:lang w:val="en-US" w:eastAsia="zh-CN"/>
              </w:rPr>
              <w:t>为铅蓄电池，升压站内铅蓄电池寿命一般在10-15年，据建设单位提供资料，废旧</w:t>
            </w:r>
            <w:r>
              <w:rPr>
                <w:rFonts w:hint="eastAsia" w:ascii="Times New Roman" w:hAnsi="Times New Roman" w:eastAsia="宋体" w:cs="Times New Roman"/>
                <w:color w:val="auto"/>
                <w:sz w:val="24"/>
                <w:szCs w:val="24"/>
                <w:highlight w:val="none"/>
                <w:lang w:val="en-US" w:eastAsia="zh-CN"/>
              </w:rPr>
              <w:t>铅</w:t>
            </w:r>
            <w:r>
              <w:rPr>
                <w:rFonts w:hint="default" w:ascii="Times New Roman" w:hAnsi="Times New Roman" w:eastAsia="宋体" w:cs="Times New Roman"/>
                <w:color w:val="auto"/>
                <w:sz w:val="24"/>
                <w:szCs w:val="24"/>
                <w:highlight w:val="none"/>
                <w:lang w:val="en-US" w:eastAsia="zh-CN"/>
              </w:rPr>
              <w:t>蓄电池产生量约为1t/a。根据《国家危险废物名录》（2021年），废旧</w:t>
            </w:r>
            <w:r>
              <w:rPr>
                <w:rFonts w:hint="eastAsia" w:ascii="Times New Roman" w:hAnsi="Times New Roman" w:eastAsia="宋体" w:cs="Times New Roman"/>
                <w:color w:val="auto"/>
                <w:sz w:val="24"/>
                <w:szCs w:val="24"/>
                <w:highlight w:val="none"/>
                <w:lang w:val="en-US" w:eastAsia="zh-CN"/>
              </w:rPr>
              <w:t>铅</w:t>
            </w:r>
            <w:r>
              <w:rPr>
                <w:rFonts w:hint="default" w:ascii="Times New Roman" w:hAnsi="Times New Roman" w:eastAsia="宋体" w:cs="Times New Roman"/>
                <w:color w:val="auto"/>
                <w:sz w:val="24"/>
                <w:szCs w:val="24"/>
                <w:highlight w:val="none"/>
                <w:lang w:val="en-US" w:eastAsia="zh-CN"/>
              </w:rPr>
              <w:t>蓄电池属于"HW31非特定行业”中“废铅蓄电池，废物代码为900-052-31"，废旧</w:t>
            </w:r>
            <w:r>
              <w:rPr>
                <w:rFonts w:hint="eastAsia" w:ascii="Times New Roman" w:hAnsi="Times New Roman" w:eastAsia="宋体" w:cs="Times New Roman"/>
                <w:color w:val="auto"/>
                <w:sz w:val="24"/>
                <w:szCs w:val="24"/>
                <w:highlight w:val="none"/>
                <w:lang w:val="en-US" w:eastAsia="zh-CN"/>
              </w:rPr>
              <w:t>铅</w:t>
            </w:r>
            <w:r>
              <w:rPr>
                <w:rFonts w:hint="default" w:ascii="Times New Roman" w:hAnsi="Times New Roman" w:eastAsia="宋体" w:cs="Times New Roman"/>
                <w:color w:val="auto"/>
                <w:sz w:val="24"/>
                <w:szCs w:val="24"/>
                <w:highlight w:val="none"/>
                <w:lang w:val="en-US" w:eastAsia="zh-CN"/>
              </w:rPr>
              <w:t>蓄电池暂存于</w:t>
            </w:r>
            <w:r>
              <w:rPr>
                <w:rFonts w:hint="eastAsia" w:eastAsia="宋体" w:cs="Times New Roman"/>
                <w:color w:val="auto"/>
                <w:sz w:val="24"/>
                <w:szCs w:val="24"/>
                <w:highlight w:val="none"/>
                <w:lang w:val="en-US" w:eastAsia="zh-CN"/>
              </w:rPr>
              <w:t>危废贮存库</w:t>
            </w:r>
            <w:r>
              <w:rPr>
                <w:rFonts w:hint="default" w:ascii="Times New Roman" w:hAnsi="Times New Roman" w:eastAsia="宋体" w:cs="Times New Roman"/>
                <w:color w:val="auto"/>
                <w:sz w:val="24"/>
                <w:szCs w:val="24"/>
                <w:highlight w:val="none"/>
                <w:lang w:val="en-US" w:eastAsia="zh-CN"/>
              </w:rPr>
              <w:t>，定期交由危废处理资质单位处理。</w:t>
            </w:r>
          </w:p>
          <w:p w14:paraId="39650B5A">
            <w:pPr>
              <w:pStyle w:val="17"/>
              <w:keepNext w:val="0"/>
              <w:keepLines w:val="0"/>
              <w:pageBreakBefore w:val="0"/>
              <w:widowControl w:val="0"/>
              <w:kinsoku/>
              <w:wordWrap/>
              <w:overflowPunct/>
              <w:topLinePunct w:val="0"/>
              <w:autoSpaceDE/>
              <w:autoSpaceDN/>
              <w:bidi w:val="0"/>
              <w:adjustRightInd/>
              <w:snapToGrid/>
              <w:spacing w:before="0" w:beforeLines="0" w:after="0" w:afterLines="0"/>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上述固体废物均能安全妥善处置，对周围环境影响不大。</w:t>
            </w:r>
          </w:p>
          <w:p w14:paraId="27388615">
            <w:pPr>
              <w:pStyle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本项目固体废物产生情况见表4-</w:t>
            </w:r>
            <w:r>
              <w:rPr>
                <w:rFonts w:hint="eastAsia" w:ascii="Times New Roman" w:hAnsi="Times New Roman" w:eastAsia="宋体" w:cs="Times New Roman"/>
                <w:b w:val="0"/>
                <w:bCs w:val="0"/>
                <w:color w:val="auto"/>
                <w:kern w:val="0"/>
                <w:sz w:val="24"/>
                <w:szCs w:val="24"/>
                <w:highlight w:val="none"/>
                <w:lang w:val="en-US" w:eastAsia="zh-CN"/>
              </w:rPr>
              <w:t>4</w:t>
            </w:r>
            <w:r>
              <w:rPr>
                <w:rFonts w:hint="default" w:ascii="Times New Roman" w:hAnsi="Times New Roman" w:eastAsia="宋体" w:cs="Times New Roman"/>
                <w:b w:val="0"/>
                <w:bCs w:val="0"/>
                <w:color w:val="auto"/>
                <w:kern w:val="0"/>
                <w:sz w:val="24"/>
                <w:szCs w:val="24"/>
                <w:highlight w:val="none"/>
                <w:lang w:val="en-US" w:eastAsia="zh-CN"/>
              </w:rPr>
              <w:t>。</w:t>
            </w:r>
          </w:p>
          <w:p w14:paraId="153FC124">
            <w:pPr>
              <w:pStyle w:val="25"/>
              <w:keepNext w:val="0"/>
              <w:keepLines w:val="0"/>
              <w:pageBreakBefore w:val="0"/>
              <w:widowControl w:val="0"/>
              <w:wordWrap/>
              <w:topLinePunct w:val="0"/>
              <w:bidi w:val="0"/>
              <w:spacing w:line="240" w:lineRule="auto"/>
              <w:ind w:firstLine="2108" w:firstLineChars="1000"/>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表4-</w:t>
            </w:r>
            <w:r>
              <w:rPr>
                <w:rFonts w:hint="eastAsia" w:ascii="Times New Roman" w:hAnsi="Times New Roman" w:eastAsia="宋体" w:cs="Times New Roman"/>
                <w:b/>
                <w:bCs/>
                <w:color w:val="auto"/>
                <w:kern w:val="2"/>
                <w:sz w:val="21"/>
                <w:szCs w:val="21"/>
                <w:highlight w:val="none"/>
                <w:lang w:val="en-US" w:eastAsia="zh-CN" w:bidi="ar-SA"/>
              </w:rPr>
              <w:t xml:space="preserve">4   </w:t>
            </w:r>
            <w:r>
              <w:rPr>
                <w:rFonts w:hint="default" w:ascii="Times New Roman" w:hAnsi="Times New Roman" w:eastAsia="宋体" w:cs="Times New Roman"/>
                <w:b/>
                <w:bCs/>
                <w:color w:val="auto"/>
                <w:kern w:val="2"/>
                <w:sz w:val="21"/>
                <w:szCs w:val="21"/>
                <w:highlight w:val="none"/>
                <w:lang w:val="en-US" w:eastAsia="zh-CN" w:bidi="ar-SA"/>
              </w:rPr>
              <w:t>固体废物产生情况表</w:t>
            </w:r>
          </w:p>
          <w:tbl>
            <w:tblPr>
              <w:tblStyle w:val="18"/>
              <w:tblW w:w="4989"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590"/>
              <w:gridCol w:w="686"/>
              <w:gridCol w:w="1253"/>
              <w:gridCol w:w="426"/>
              <w:gridCol w:w="579"/>
              <w:gridCol w:w="601"/>
              <w:gridCol w:w="1185"/>
              <w:gridCol w:w="601"/>
              <w:gridCol w:w="1850"/>
            </w:tblGrid>
            <w:tr w14:paraId="55994B1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9" w:type="pct"/>
                  <w:tcBorders>
                    <w:tl2br w:val="nil"/>
                    <w:tr2bl w:val="nil"/>
                  </w:tcBorders>
                  <w:noWrap w:val="0"/>
                  <w:vAlign w:val="center"/>
                </w:tcPr>
                <w:p w14:paraId="5DD80CF6">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38" w:name="_Toc12428"/>
                  <w:r>
                    <w:rPr>
                      <w:rFonts w:hint="default" w:ascii="Times New Roman" w:hAnsi="Times New Roman" w:eastAsia="宋体" w:cs="Times New Roman"/>
                      <w:b w:val="0"/>
                      <w:bCs w:val="0"/>
                      <w:color w:val="auto"/>
                      <w:sz w:val="21"/>
                      <w:szCs w:val="21"/>
                      <w:highlight w:val="none"/>
                      <w:lang w:val="en-US" w:eastAsia="zh-CN"/>
                    </w:rPr>
                    <w:t>产生</w:t>
                  </w:r>
                  <w:bookmarkEnd w:id="38"/>
                </w:p>
                <w:p w14:paraId="37B9EF69">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39" w:name="_Toc29426"/>
                  <w:r>
                    <w:rPr>
                      <w:rFonts w:hint="default" w:ascii="Times New Roman" w:hAnsi="Times New Roman" w:eastAsia="宋体" w:cs="Times New Roman"/>
                      <w:b w:val="0"/>
                      <w:bCs w:val="0"/>
                      <w:color w:val="auto"/>
                      <w:sz w:val="21"/>
                      <w:szCs w:val="21"/>
                      <w:highlight w:val="none"/>
                      <w:lang w:val="en-US" w:eastAsia="zh-CN"/>
                    </w:rPr>
                    <w:t>环节</w:t>
                  </w:r>
                  <w:bookmarkEnd w:id="39"/>
                </w:p>
              </w:tc>
              <w:tc>
                <w:tcPr>
                  <w:tcW w:w="441" w:type="pct"/>
                  <w:tcBorders>
                    <w:tl2br w:val="nil"/>
                    <w:tr2bl w:val="nil"/>
                  </w:tcBorders>
                  <w:noWrap w:val="0"/>
                  <w:vAlign w:val="center"/>
                </w:tcPr>
                <w:p w14:paraId="67AE3669">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40" w:name="_Toc15473"/>
                  <w:r>
                    <w:rPr>
                      <w:rFonts w:hint="default" w:ascii="Times New Roman" w:hAnsi="Times New Roman" w:eastAsia="宋体" w:cs="Times New Roman"/>
                      <w:b w:val="0"/>
                      <w:bCs w:val="0"/>
                      <w:color w:val="auto"/>
                      <w:sz w:val="21"/>
                      <w:szCs w:val="21"/>
                      <w:highlight w:val="none"/>
                      <w:lang w:val="en-US" w:eastAsia="zh-CN"/>
                    </w:rPr>
                    <w:t>名称</w:t>
                  </w:r>
                  <w:bookmarkEnd w:id="40"/>
                </w:p>
              </w:tc>
              <w:tc>
                <w:tcPr>
                  <w:tcW w:w="806" w:type="pct"/>
                  <w:tcBorders>
                    <w:tl2br w:val="nil"/>
                    <w:tr2bl w:val="nil"/>
                  </w:tcBorders>
                  <w:noWrap w:val="0"/>
                  <w:vAlign w:val="center"/>
                </w:tcPr>
                <w:p w14:paraId="3A7C8211">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41" w:name="_Toc2066"/>
                  <w:r>
                    <w:rPr>
                      <w:rFonts w:hint="default" w:ascii="Times New Roman" w:hAnsi="Times New Roman" w:eastAsia="宋体" w:cs="Times New Roman"/>
                      <w:b w:val="0"/>
                      <w:bCs w:val="0"/>
                      <w:color w:val="auto"/>
                      <w:sz w:val="21"/>
                      <w:szCs w:val="21"/>
                      <w:highlight w:val="none"/>
                      <w:lang w:val="en-US" w:eastAsia="zh-CN"/>
                    </w:rPr>
                    <w:t>属性</w:t>
                  </w:r>
                  <w:bookmarkEnd w:id="41"/>
                </w:p>
              </w:tc>
              <w:tc>
                <w:tcPr>
                  <w:tcW w:w="274" w:type="pct"/>
                  <w:tcBorders>
                    <w:tl2br w:val="nil"/>
                    <w:tr2bl w:val="nil"/>
                  </w:tcBorders>
                  <w:noWrap w:val="0"/>
                  <w:vAlign w:val="center"/>
                </w:tcPr>
                <w:p w14:paraId="778F669E">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42" w:name="_Toc24134"/>
                  <w:r>
                    <w:rPr>
                      <w:rFonts w:hint="default" w:ascii="Times New Roman" w:hAnsi="Times New Roman" w:eastAsia="宋体" w:cs="Times New Roman"/>
                      <w:b w:val="0"/>
                      <w:bCs w:val="0"/>
                      <w:color w:val="auto"/>
                      <w:sz w:val="21"/>
                      <w:szCs w:val="21"/>
                      <w:highlight w:val="none"/>
                      <w:lang w:val="en-US" w:eastAsia="zh-CN"/>
                    </w:rPr>
                    <w:t>物理性状</w:t>
                  </w:r>
                  <w:bookmarkEnd w:id="42"/>
                </w:p>
              </w:tc>
              <w:tc>
                <w:tcPr>
                  <w:tcW w:w="372" w:type="pct"/>
                  <w:tcBorders>
                    <w:tl2br w:val="nil"/>
                    <w:tr2bl w:val="nil"/>
                  </w:tcBorders>
                  <w:noWrap w:val="0"/>
                  <w:vAlign w:val="center"/>
                </w:tcPr>
                <w:p w14:paraId="4A0C3ED1">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43" w:name="_Toc23573"/>
                  <w:r>
                    <w:rPr>
                      <w:rFonts w:hint="default" w:ascii="Times New Roman" w:hAnsi="Times New Roman" w:eastAsia="宋体" w:cs="Times New Roman"/>
                      <w:b w:val="0"/>
                      <w:bCs w:val="0"/>
                      <w:color w:val="auto"/>
                      <w:sz w:val="21"/>
                      <w:szCs w:val="21"/>
                      <w:highlight w:val="none"/>
                      <w:lang w:val="en-US" w:eastAsia="zh-CN"/>
                    </w:rPr>
                    <w:t>环境危险特性</w:t>
                  </w:r>
                  <w:bookmarkEnd w:id="43"/>
                </w:p>
              </w:tc>
              <w:tc>
                <w:tcPr>
                  <w:tcW w:w="386" w:type="pct"/>
                  <w:tcBorders>
                    <w:tl2br w:val="nil"/>
                    <w:tr2bl w:val="nil"/>
                  </w:tcBorders>
                  <w:noWrap w:val="0"/>
                  <w:vAlign w:val="center"/>
                </w:tcPr>
                <w:p w14:paraId="489F542B">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44" w:name="_Toc7768"/>
                  <w:r>
                    <w:rPr>
                      <w:rFonts w:hint="default" w:ascii="Times New Roman" w:hAnsi="Times New Roman" w:eastAsia="宋体" w:cs="Times New Roman"/>
                      <w:b w:val="0"/>
                      <w:bCs w:val="0"/>
                      <w:color w:val="auto"/>
                      <w:sz w:val="21"/>
                      <w:szCs w:val="21"/>
                      <w:highlight w:val="none"/>
                      <w:lang w:val="en-US" w:eastAsia="zh-CN"/>
                    </w:rPr>
                    <w:t>产生量t/a</w:t>
                  </w:r>
                  <w:bookmarkEnd w:id="44"/>
                </w:p>
              </w:tc>
              <w:tc>
                <w:tcPr>
                  <w:tcW w:w="762" w:type="pct"/>
                  <w:tcBorders>
                    <w:tl2br w:val="nil"/>
                    <w:tr2bl w:val="nil"/>
                  </w:tcBorders>
                  <w:noWrap w:val="0"/>
                  <w:vAlign w:val="center"/>
                </w:tcPr>
                <w:p w14:paraId="16CA66C3">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45" w:name="_Toc11693"/>
                  <w:r>
                    <w:rPr>
                      <w:rFonts w:hint="default" w:ascii="Times New Roman" w:hAnsi="Times New Roman" w:eastAsia="宋体" w:cs="Times New Roman"/>
                      <w:b w:val="0"/>
                      <w:bCs w:val="0"/>
                      <w:color w:val="auto"/>
                      <w:sz w:val="21"/>
                      <w:szCs w:val="21"/>
                      <w:highlight w:val="none"/>
                      <w:lang w:val="en-US" w:eastAsia="zh-CN"/>
                    </w:rPr>
                    <w:t>去向</w:t>
                  </w:r>
                  <w:bookmarkEnd w:id="45"/>
                </w:p>
              </w:tc>
              <w:tc>
                <w:tcPr>
                  <w:tcW w:w="386" w:type="pct"/>
                  <w:tcBorders>
                    <w:tl2br w:val="nil"/>
                    <w:tr2bl w:val="nil"/>
                  </w:tcBorders>
                  <w:noWrap w:val="0"/>
                  <w:vAlign w:val="center"/>
                </w:tcPr>
                <w:p w14:paraId="018CC996">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46" w:name="_Toc8641"/>
                  <w:r>
                    <w:rPr>
                      <w:rFonts w:hint="default" w:ascii="Times New Roman" w:hAnsi="Times New Roman" w:eastAsia="宋体" w:cs="Times New Roman"/>
                      <w:b w:val="0"/>
                      <w:bCs w:val="0"/>
                      <w:color w:val="auto"/>
                      <w:sz w:val="21"/>
                      <w:szCs w:val="21"/>
                      <w:highlight w:val="none"/>
                      <w:lang w:val="en-US" w:eastAsia="zh-CN"/>
                    </w:rPr>
                    <w:t>利用/处置量t/a</w:t>
                  </w:r>
                  <w:bookmarkEnd w:id="46"/>
                </w:p>
              </w:tc>
              <w:tc>
                <w:tcPr>
                  <w:tcW w:w="1190" w:type="pct"/>
                  <w:tcBorders>
                    <w:tl2br w:val="nil"/>
                    <w:tr2bl w:val="nil"/>
                  </w:tcBorders>
                  <w:noWrap w:val="0"/>
                  <w:vAlign w:val="center"/>
                </w:tcPr>
                <w:p w14:paraId="61EB1A77">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47" w:name="_Toc12792"/>
                  <w:r>
                    <w:rPr>
                      <w:rFonts w:hint="default" w:ascii="Times New Roman" w:hAnsi="Times New Roman" w:eastAsia="宋体" w:cs="Times New Roman"/>
                      <w:b w:val="0"/>
                      <w:bCs w:val="0"/>
                      <w:color w:val="auto"/>
                      <w:sz w:val="21"/>
                      <w:szCs w:val="21"/>
                      <w:highlight w:val="none"/>
                      <w:lang w:val="en-US" w:eastAsia="zh-CN"/>
                    </w:rPr>
                    <w:t>环境管理</w:t>
                  </w:r>
                  <w:bookmarkEnd w:id="47"/>
                </w:p>
                <w:p w14:paraId="7620C5B5">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48" w:name="_Toc1008"/>
                  <w:r>
                    <w:rPr>
                      <w:rFonts w:hint="default" w:ascii="Times New Roman" w:hAnsi="Times New Roman" w:eastAsia="宋体" w:cs="Times New Roman"/>
                      <w:b w:val="0"/>
                      <w:bCs w:val="0"/>
                      <w:color w:val="auto"/>
                      <w:sz w:val="21"/>
                      <w:szCs w:val="21"/>
                      <w:highlight w:val="none"/>
                      <w:lang w:val="en-US" w:eastAsia="zh-CN"/>
                    </w:rPr>
                    <w:t>要求</w:t>
                  </w:r>
                  <w:bookmarkEnd w:id="48"/>
                </w:p>
              </w:tc>
            </w:tr>
            <w:tr w14:paraId="40C0ACA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9" w:type="pct"/>
                  <w:tcBorders>
                    <w:tl2br w:val="nil"/>
                    <w:tr2bl w:val="nil"/>
                  </w:tcBorders>
                  <w:noWrap w:val="0"/>
                  <w:vAlign w:val="center"/>
                </w:tcPr>
                <w:p w14:paraId="73F1314A">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49" w:name="_Toc28257"/>
                  <w:r>
                    <w:rPr>
                      <w:rFonts w:hint="default" w:ascii="Times New Roman" w:hAnsi="Times New Roman" w:eastAsia="宋体" w:cs="Times New Roman"/>
                      <w:b w:val="0"/>
                      <w:bCs w:val="0"/>
                      <w:color w:val="auto"/>
                      <w:sz w:val="21"/>
                      <w:szCs w:val="21"/>
                      <w:highlight w:val="none"/>
                      <w:lang w:val="en-US" w:eastAsia="zh-CN"/>
                    </w:rPr>
                    <w:t>检修</w:t>
                  </w:r>
                  <w:bookmarkEnd w:id="49"/>
                </w:p>
                <w:p w14:paraId="46CD16E9">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50" w:name="_Toc5485"/>
                  <w:r>
                    <w:rPr>
                      <w:rFonts w:hint="default" w:ascii="Times New Roman" w:hAnsi="Times New Roman" w:eastAsia="宋体" w:cs="Times New Roman"/>
                      <w:b w:val="0"/>
                      <w:bCs w:val="0"/>
                      <w:color w:val="auto"/>
                      <w:sz w:val="21"/>
                      <w:szCs w:val="21"/>
                      <w:highlight w:val="none"/>
                      <w:lang w:val="en-US" w:eastAsia="zh-CN"/>
                    </w:rPr>
                    <w:t>人员</w:t>
                  </w:r>
                  <w:bookmarkEnd w:id="50"/>
                </w:p>
              </w:tc>
              <w:tc>
                <w:tcPr>
                  <w:tcW w:w="441" w:type="pct"/>
                  <w:tcBorders>
                    <w:tl2br w:val="nil"/>
                    <w:tr2bl w:val="nil"/>
                  </w:tcBorders>
                  <w:noWrap w:val="0"/>
                  <w:vAlign w:val="center"/>
                </w:tcPr>
                <w:p w14:paraId="45E36E85">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51" w:name="_Toc5853"/>
                  <w:r>
                    <w:rPr>
                      <w:rFonts w:hint="default" w:ascii="Times New Roman" w:hAnsi="Times New Roman" w:eastAsia="宋体" w:cs="Times New Roman"/>
                      <w:b w:val="0"/>
                      <w:bCs w:val="0"/>
                      <w:color w:val="auto"/>
                      <w:sz w:val="21"/>
                      <w:szCs w:val="21"/>
                      <w:highlight w:val="none"/>
                      <w:lang w:val="en-US" w:eastAsia="zh-CN"/>
                    </w:rPr>
                    <w:t>生活</w:t>
                  </w:r>
                  <w:bookmarkEnd w:id="51"/>
                </w:p>
                <w:p w14:paraId="349732C1">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52" w:name="_Toc29123"/>
                  <w:r>
                    <w:rPr>
                      <w:rFonts w:hint="default" w:ascii="Times New Roman" w:hAnsi="Times New Roman" w:eastAsia="宋体" w:cs="Times New Roman"/>
                      <w:b w:val="0"/>
                      <w:bCs w:val="0"/>
                      <w:color w:val="auto"/>
                      <w:sz w:val="21"/>
                      <w:szCs w:val="21"/>
                      <w:highlight w:val="none"/>
                      <w:lang w:val="en-US" w:eastAsia="zh-CN"/>
                    </w:rPr>
                    <w:t>垃圾</w:t>
                  </w:r>
                  <w:bookmarkEnd w:id="52"/>
                </w:p>
              </w:tc>
              <w:tc>
                <w:tcPr>
                  <w:tcW w:w="806" w:type="pct"/>
                  <w:tcBorders>
                    <w:tl2br w:val="nil"/>
                    <w:tr2bl w:val="nil"/>
                  </w:tcBorders>
                  <w:noWrap w:val="0"/>
                  <w:vAlign w:val="center"/>
                </w:tcPr>
                <w:p w14:paraId="3D4BC77C">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53" w:name="_Toc15012"/>
                  <w:r>
                    <w:rPr>
                      <w:rFonts w:hint="default" w:ascii="Times New Roman" w:hAnsi="Times New Roman" w:eastAsia="宋体" w:cs="Times New Roman"/>
                      <w:b w:val="0"/>
                      <w:bCs w:val="0"/>
                      <w:color w:val="auto"/>
                      <w:sz w:val="21"/>
                      <w:szCs w:val="21"/>
                      <w:highlight w:val="none"/>
                      <w:lang w:val="en-US" w:eastAsia="zh-CN"/>
                    </w:rPr>
                    <w:t>生活</w:t>
                  </w:r>
                  <w:bookmarkEnd w:id="53"/>
                </w:p>
                <w:p w14:paraId="5D6CEC88">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54" w:name="_Toc11701"/>
                  <w:r>
                    <w:rPr>
                      <w:rFonts w:hint="default" w:ascii="Times New Roman" w:hAnsi="Times New Roman" w:eastAsia="宋体" w:cs="Times New Roman"/>
                      <w:b w:val="0"/>
                      <w:bCs w:val="0"/>
                      <w:color w:val="auto"/>
                      <w:sz w:val="21"/>
                      <w:szCs w:val="21"/>
                      <w:highlight w:val="none"/>
                      <w:lang w:val="en-US" w:eastAsia="zh-CN"/>
                    </w:rPr>
                    <w:t>垃圾</w:t>
                  </w:r>
                  <w:bookmarkEnd w:id="54"/>
                </w:p>
              </w:tc>
              <w:tc>
                <w:tcPr>
                  <w:tcW w:w="274" w:type="pct"/>
                  <w:tcBorders>
                    <w:tl2br w:val="nil"/>
                    <w:tr2bl w:val="nil"/>
                  </w:tcBorders>
                  <w:noWrap w:val="0"/>
                  <w:vAlign w:val="center"/>
                </w:tcPr>
                <w:p w14:paraId="5EE57FEF">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55" w:name="_Toc7189"/>
                  <w:r>
                    <w:rPr>
                      <w:rFonts w:hint="default" w:ascii="Times New Roman" w:hAnsi="Times New Roman" w:eastAsia="宋体" w:cs="Times New Roman"/>
                      <w:b w:val="0"/>
                      <w:bCs w:val="0"/>
                      <w:color w:val="auto"/>
                      <w:sz w:val="21"/>
                      <w:szCs w:val="21"/>
                      <w:highlight w:val="none"/>
                      <w:lang w:val="en-US" w:eastAsia="zh-CN"/>
                    </w:rPr>
                    <w:t>固态</w:t>
                  </w:r>
                  <w:bookmarkEnd w:id="55"/>
                </w:p>
              </w:tc>
              <w:tc>
                <w:tcPr>
                  <w:tcW w:w="372" w:type="pct"/>
                  <w:tcBorders>
                    <w:tl2br w:val="nil"/>
                    <w:tr2bl w:val="nil"/>
                  </w:tcBorders>
                  <w:noWrap w:val="0"/>
                  <w:vAlign w:val="center"/>
                </w:tcPr>
                <w:p w14:paraId="77D49940">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56" w:name="_Toc10285"/>
                  <w:r>
                    <w:rPr>
                      <w:rFonts w:hint="default" w:ascii="Times New Roman" w:hAnsi="Times New Roman" w:eastAsia="宋体" w:cs="Times New Roman"/>
                      <w:b w:val="0"/>
                      <w:bCs w:val="0"/>
                      <w:color w:val="auto"/>
                      <w:sz w:val="21"/>
                      <w:szCs w:val="21"/>
                      <w:highlight w:val="none"/>
                      <w:lang w:val="en-US" w:eastAsia="zh-CN"/>
                    </w:rPr>
                    <w:t>-</w:t>
                  </w:r>
                  <w:bookmarkEnd w:id="56"/>
                </w:p>
              </w:tc>
              <w:tc>
                <w:tcPr>
                  <w:tcW w:w="386" w:type="pct"/>
                  <w:tcBorders>
                    <w:tl2br w:val="nil"/>
                    <w:tr2bl w:val="nil"/>
                  </w:tcBorders>
                  <w:noWrap w:val="0"/>
                  <w:vAlign w:val="center"/>
                </w:tcPr>
                <w:p w14:paraId="140DDA3C">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5.5</w:t>
                  </w:r>
                </w:p>
              </w:tc>
              <w:tc>
                <w:tcPr>
                  <w:tcW w:w="762" w:type="pct"/>
                  <w:tcBorders>
                    <w:tl2br w:val="nil"/>
                    <w:tr2bl w:val="nil"/>
                  </w:tcBorders>
                  <w:noWrap w:val="0"/>
                  <w:vAlign w:val="center"/>
                </w:tcPr>
                <w:p w14:paraId="4CD9B0DD">
                  <w:pPr>
                    <w:pStyle w:val="3"/>
                    <w:keepNext w:val="0"/>
                    <w:keepLines w:val="0"/>
                    <w:pageBreakBefore w:val="0"/>
                    <w:widowControl w:val="0"/>
                    <w:kinsoku/>
                    <w:wordWrap/>
                    <w:overflowPunct/>
                    <w:topLinePunct w:val="0"/>
                    <w:autoSpaceDE/>
                    <w:autoSpaceDN/>
                    <w:bidi w:val="0"/>
                    <w:adjustRightInd/>
                    <w:snapToGrid w:val="0"/>
                    <w:spacing w:before="0" w:after="0" w:line="240" w:lineRule="auto"/>
                    <w:jc w:val="both"/>
                    <w:textAlignment w:val="auto"/>
                    <w:rPr>
                      <w:rFonts w:hint="default" w:ascii="Times New Roman" w:hAnsi="Times New Roman" w:eastAsia="宋体" w:cs="Times New Roman"/>
                      <w:b w:val="0"/>
                      <w:bCs w:val="0"/>
                      <w:color w:val="auto"/>
                      <w:sz w:val="21"/>
                      <w:szCs w:val="21"/>
                      <w:highlight w:val="none"/>
                      <w:lang w:val="en-US" w:eastAsia="zh-CN"/>
                    </w:rPr>
                  </w:pPr>
                  <w:bookmarkStart w:id="57" w:name="_Toc7041"/>
                  <w:r>
                    <w:rPr>
                      <w:rFonts w:hint="default" w:ascii="Times New Roman" w:hAnsi="Times New Roman" w:eastAsia="宋体" w:cs="Times New Roman"/>
                      <w:b w:val="0"/>
                      <w:bCs w:val="0"/>
                      <w:color w:val="auto"/>
                      <w:sz w:val="21"/>
                      <w:szCs w:val="21"/>
                      <w:highlight w:val="none"/>
                      <w:lang w:val="en-US" w:eastAsia="zh-CN"/>
                    </w:rPr>
                    <w:t>定期自行清运至城区垃圾转运站</w:t>
                  </w:r>
                  <w:bookmarkEnd w:id="57"/>
                </w:p>
              </w:tc>
              <w:tc>
                <w:tcPr>
                  <w:tcW w:w="386" w:type="pct"/>
                  <w:tcBorders>
                    <w:tl2br w:val="nil"/>
                    <w:tr2bl w:val="nil"/>
                  </w:tcBorders>
                  <w:noWrap w:val="0"/>
                  <w:vAlign w:val="center"/>
                </w:tcPr>
                <w:p w14:paraId="4F8D0F62">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5.5</w:t>
                  </w:r>
                </w:p>
              </w:tc>
              <w:tc>
                <w:tcPr>
                  <w:tcW w:w="1190" w:type="pct"/>
                  <w:tcBorders>
                    <w:tl2br w:val="nil"/>
                    <w:tr2bl w:val="nil"/>
                  </w:tcBorders>
                  <w:noWrap w:val="0"/>
                  <w:vAlign w:val="center"/>
                </w:tcPr>
                <w:p w14:paraId="607A7E04">
                  <w:pPr>
                    <w:pStyle w:val="3"/>
                    <w:keepNext w:val="0"/>
                    <w:keepLines w:val="0"/>
                    <w:pageBreakBefore w:val="0"/>
                    <w:widowControl w:val="0"/>
                    <w:kinsoku/>
                    <w:wordWrap/>
                    <w:overflowPunct/>
                    <w:topLinePunct w:val="0"/>
                    <w:autoSpaceDE/>
                    <w:autoSpaceDN/>
                    <w:bidi w:val="0"/>
                    <w:adjustRightInd/>
                    <w:snapToGrid w:val="0"/>
                    <w:spacing w:before="0" w:after="0" w:line="240" w:lineRule="auto"/>
                    <w:jc w:val="both"/>
                    <w:textAlignment w:val="auto"/>
                    <w:outlineLvl w:val="9"/>
                    <w:rPr>
                      <w:rFonts w:hint="default" w:ascii="Times New Roman" w:hAnsi="Times New Roman" w:eastAsia="宋体" w:cs="Times New Roman"/>
                      <w:b w:val="0"/>
                      <w:bCs w:val="0"/>
                      <w:color w:val="auto"/>
                      <w:sz w:val="21"/>
                      <w:szCs w:val="21"/>
                      <w:highlight w:val="none"/>
                      <w:lang w:val="en-US" w:eastAsia="zh-CN"/>
                    </w:rPr>
                  </w:pPr>
                </w:p>
                <w:p w14:paraId="4682983B">
                  <w:pPr>
                    <w:pStyle w:val="3"/>
                    <w:keepNext w:val="0"/>
                    <w:keepLines w:val="0"/>
                    <w:pageBreakBefore w:val="0"/>
                    <w:widowControl w:val="0"/>
                    <w:kinsoku/>
                    <w:wordWrap/>
                    <w:overflowPunct/>
                    <w:topLinePunct w:val="0"/>
                    <w:autoSpaceDE/>
                    <w:autoSpaceDN/>
                    <w:bidi w:val="0"/>
                    <w:adjustRightInd/>
                    <w:snapToGrid w:val="0"/>
                    <w:spacing w:before="0" w:after="0" w:line="240" w:lineRule="auto"/>
                    <w:jc w:val="both"/>
                    <w:textAlignment w:val="auto"/>
                    <w:rPr>
                      <w:rFonts w:hint="default" w:ascii="Times New Roman" w:hAnsi="Times New Roman" w:eastAsia="宋体" w:cs="Times New Roman"/>
                      <w:b w:val="0"/>
                      <w:bCs w:val="0"/>
                      <w:color w:val="auto"/>
                      <w:sz w:val="21"/>
                      <w:szCs w:val="21"/>
                      <w:highlight w:val="none"/>
                      <w:lang w:val="en-US" w:eastAsia="zh-CN"/>
                    </w:rPr>
                  </w:pPr>
                  <w:bookmarkStart w:id="58" w:name="_Toc14853"/>
                  <w:r>
                    <w:rPr>
                      <w:rFonts w:hint="default" w:ascii="Times New Roman" w:hAnsi="Times New Roman" w:eastAsia="宋体" w:cs="Times New Roman"/>
                      <w:b w:val="0"/>
                      <w:bCs w:val="0"/>
                      <w:color w:val="auto"/>
                      <w:sz w:val="21"/>
                      <w:szCs w:val="21"/>
                      <w:highlight w:val="none"/>
                      <w:lang w:val="en-US" w:eastAsia="zh-CN"/>
                    </w:rPr>
                    <w:t>-</w:t>
                  </w:r>
                  <w:bookmarkEnd w:id="58"/>
                </w:p>
              </w:tc>
            </w:tr>
            <w:tr w14:paraId="1D9C922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9" w:type="pct"/>
                  <w:vMerge w:val="restart"/>
                  <w:tcBorders>
                    <w:tl2br w:val="nil"/>
                    <w:tr2bl w:val="nil"/>
                  </w:tcBorders>
                  <w:noWrap w:val="0"/>
                  <w:vAlign w:val="center"/>
                </w:tcPr>
                <w:p w14:paraId="0B8B47ED">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储能系统</w:t>
                  </w:r>
                </w:p>
              </w:tc>
              <w:tc>
                <w:tcPr>
                  <w:tcW w:w="441" w:type="pct"/>
                  <w:tcBorders>
                    <w:tl2br w:val="nil"/>
                    <w:tr2bl w:val="nil"/>
                  </w:tcBorders>
                  <w:noWrap w:val="0"/>
                  <w:vAlign w:val="center"/>
                </w:tcPr>
                <w:p w14:paraId="5113E9EC">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废磷酸铁锂电池</w:t>
                  </w:r>
                </w:p>
              </w:tc>
              <w:tc>
                <w:tcPr>
                  <w:tcW w:w="806" w:type="pct"/>
                  <w:vMerge w:val="restart"/>
                  <w:tcBorders>
                    <w:tl2br w:val="nil"/>
                    <w:tr2bl w:val="nil"/>
                  </w:tcBorders>
                  <w:noWrap w:val="0"/>
                  <w:vAlign w:val="center"/>
                </w:tcPr>
                <w:p w14:paraId="5719AFDA">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一般工业固体废物</w:t>
                  </w:r>
                  <w:r>
                    <w:rPr>
                      <w:rFonts w:hint="eastAsia" w:ascii="Times New Roman" w:hAnsi="Times New Roman" w:eastAsia="宋体" w:cs="Times New Roman"/>
                      <w:b w:val="0"/>
                      <w:bCs w:val="0"/>
                      <w:color w:val="auto"/>
                      <w:sz w:val="21"/>
                      <w:szCs w:val="21"/>
                      <w:highlight w:val="none"/>
                      <w:lang w:val="en-US" w:eastAsia="zh-CN"/>
                    </w:rPr>
                    <w:t>900-012-S17</w:t>
                  </w:r>
                </w:p>
              </w:tc>
              <w:tc>
                <w:tcPr>
                  <w:tcW w:w="274" w:type="pct"/>
                  <w:vMerge w:val="restart"/>
                  <w:tcBorders>
                    <w:tl2br w:val="nil"/>
                    <w:tr2bl w:val="nil"/>
                  </w:tcBorders>
                  <w:noWrap w:val="0"/>
                  <w:vAlign w:val="center"/>
                </w:tcPr>
                <w:p w14:paraId="1C0E6FDC">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固态</w:t>
                  </w:r>
                </w:p>
              </w:tc>
              <w:tc>
                <w:tcPr>
                  <w:tcW w:w="372" w:type="pct"/>
                  <w:vMerge w:val="restart"/>
                  <w:tcBorders>
                    <w:tl2br w:val="nil"/>
                    <w:tr2bl w:val="nil"/>
                  </w:tcBorders>
                  <w:noWrap w:val="0"/>
                  <w:vAlign w:val="center"/>
                </w:tcPr>
                <w:p w14:paraId="1B29CF0B">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386" w:type="pct"/>
                  <w:tcBorders>
                    <w:tl2br w:val="nil"/>
                    <w:tr2bl w:val="nil"/>
                  </w:tcBorders>
                  <w:noWrap w:val="0"/>
                  <w:vAlign w:val="center"/>
                </w:tcPr>
                <w:p w14:paraId="51B38B98">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74</w:t>
                  </w:r>
                  <w:r>
                    <w:rPr>
                      <w:rFonts w:hint="default" w:ascii="Times New Roman" w:hAnsi="Times New Roman" w:eastAsia="宋体" w:cs="Times New Roman"/>
                      <w:b w:val="0"/>
                      <w:bCs w:val="0"/>
                      <w:color w:val="auto"/>
                      <w:sz w:val="21"/>
                      <w:szCs w:val="21"/>
                      <w:highlight w:val="none"/>
                      <w:lang w:val="en-US" w:eastAsia="zh-CN"/>
                    </w:rPr>
                    <w:t>套/8a</w:t>
                  </w:r>
                </w:p>
              </w:tc>
              <w:tc>
                <w:tcPr>
                  <w:tcW w:w="762" w:type="pct"/>
                  <w:vMerge w:val="restart"/>
                  <w:tcBorders>
                    <w:tl2br w:val="nil"/>
                    <w:tr2bl w:val="nil"/>
                  </w:tcBorders>
                  <w:noWrap w:val="0"/>
                  <w:vAlign w:val="center"/>
                </w:tcPr>
                <w:p w14:paraId="157606EF">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定期由厂家回收</w:t>
                  </w:r>
                </w:p>
              </w:tc>
              <w:tc>
                <w:tcPr>
                  <w:tcW w:w="386" w:type="pct"/>
                  <w:tcBorders>
                    <w:tl2br w:val="nil"/>
                    <w:tr2bl w:val="nil"/>
                  </w:tcBorders>
                  <w:noWrap w:val="0"/>
                  <w:vAlign w:val="center"/>
                </w:tcPr>
                <w:p w14:paraId="2865088F">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74</w:t>
                  </w:r>
                  <w:r>
                    <w:rPr>
                      <w:rFonts w:hint="default" w:ascii="Times New Roman" w:hAnsi="Times New Roman" w:eastAsia="宋体" w:cs="Times New Roman"/>
                      <w:b w:val="0"/>
                      <w:bCs w:val="0"/>
                      <w:color w:val="auto"/>
                      <w:sz w:val="21"/>
                      <w:szCs w:val="21"/>
                      <w:highlight w:val="none"/>
                      <w:lang w:val="en-US" w:eastAsia="zh-CN"/>
                    </w:rPr>
                    <w:t>套</w:t>
                  </w:r>
                </w:p>
              </w:tc>
              <w:tc>
                <w:tcPr>
                  <w:tcW w:w="1190" w:type="pct"/>
                  <w:vMerge w:val="restart"/>
                  <w:tcBorders>
                    <w:tl2br w:val="nil"/>
                    <w:tr2bl w:val="nil"/>
                  </w:tcBorders>
                  <w:noWrap w:val="0"/>
                  <w:vAlign w:val="center"/>
                </w:tcPr>
                <w:p w14:paraId="5CE6EAC9">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59" w:name="_Toc19077"/>
                  <w:r>
                    <w:rPr>
                      <w:rFonts w:hint="default" w:ascii="Times New Roman" w:hAnsi="Times New Roman" w:eastAsia="宋体" w:cs="Times New Roman"/>
                      <w:b w:val="0"/>
                      <w:bCs w:val="0"/>
                      <w:color w:val="auto"/>
                      <w:sz w:val="21"/>
                      <w:szCs w:val="21"/>
                      <w:highlight w:val="none"/>
                      <w:lang w:val="en-US" w:eastAsia="zh-CN"/>
                    </w:rPr>
                    <w:t>妥善收集、储存固体废物；应记录固体废物的产生量、贮存量及去向，相关记录形成台账。</w:t>
                  </w:r>
                  <w:bookmarkEnd w:id="59"/>
                </w:p>
              </w:tc>
            </w:tr>
            <w:tr w14:paraId="238EA37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9" w:type="pct"/>
                  <w:vMerge w:val="continue"/>
                  <w:tcBorders>
                    <w:tl2br w:val="nil"/>
                    <w:tr2bl w:val="nil"/>
                  </w:tcBorders>
                  <w:noWrap w:val="0"/>
                  <w:vAlign w:val="center"/>
                </w:tcPr>
                <w:p w14:paraId="19DD9D79">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41" w:type="pct"/>
                  <w:tcBorders>
                    <w:tl2br w:val="nil"/>
                    <w:tr2bl w:val="nil"/>
                  </w:tcBorders>
                  <w:noWrap w:val="0"/>
                  <w:vAlign w:val="center"/>
                </w:tcPr>
                <w:p w14:paraId="2889FBBA">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废钠离子电池</w:t>
                  </w:r>
                </w:p>
              </w:tc>
              <w:tc>
                <w:tcPr>
                  <w:tcW w:w="806" w:type="pct"/>
                  <w:vMerge w:val="continue"/>
                  <w:tcBorders>
                    <w:tl2br w:val="nil"/>
                    <w:tr2bl w:val="nil"/>
                  </w:tcBorders>
                  <w:noWrap w:val="0"/>
                  <w:vAlign w:val="center"/>
                </w:tcPr>
                <w:p w14:paraId="3987789F">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74" w:type="pct"/>
                  <w:vMerge w:val="continue"/>
                  <w:tcBorders>
                    <w:tl2br w:val="nil"/>
                    <w:tr2bl w:val="nil"/>
                  </w:tcBorders>
                  <w:noWrap w:val="0"/>
                  <w:vAlign w:val="center"/>
                </w:tcPr>
                <w:p w14:paraId="33C2A77D">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72" w:type="pct"/>
                  <w:vMerge w:val="continue"/>
                  <w:tcBorders>
                    <w:tl2br w:val="nil"/>
                    <w:tr2bl w:val="nil"/>
                  </w:tcBorders>
                  <w:noWrap w:val="0"/>
                  <w:vAlign w:val="center"/>
                </w:tcPr>
                <w:p w14:paraId="533A7548">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86" w:type="pct"/>
                  <w:tcBorders>
                    <w:tl2br w:val="nil"/>
                    <w:tr2bl w:val="nil"/>
                  </w:tcBorders>
                  <w:noWrap w:val="0"/>
                  <w:vAlign w:val="center"/>
                </w:tcPr>
                <w:p w14:paraId="3AABA5FA">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w:t>
                  </w:r>
                  <w:r>
                    <w:rPr>
                      <w:rFonts w:hint="default" w:ascii="Times New Roman" w:hAnsi="Times New Roman" w:eastAsia="宋体" w:cs="Times New Roman"/>
                      <w:b w:val="0"/>
                      <w:bCs w:val="0"/>
                      <w:color w:val="auto"/>
                      <w:sz w:val="21"/>
                      <w:szCs w:val="21"/>
                      <w:highlight w:val="none"/>
                      <w:lang w:val="en-US" w:eastAsia="zh-CN"/>
                    </w:rPr>
                    <w:t>套/8a</w:t>
                  </w:r>
                </w:p>
              </w:tc>
              <w:tc>
                <w:tcPr>
                  <w:tcW w:w="762" w:type="pct"/>
                  <w:vMerge w:val="continue"/>
                  <w:tcBorders>
                    <w:tl2br w:val="nil"/>
                    <w:tr2bl w:val="nil"/>
                  </w:tcBorders>
                  <w:noWrap w:val="0"/>
                  <w:vAlign w:val="center"/>
                </w:tcPr>
                <w:p w14:paraId="00233FF3">
                  <w:pPr>
                    <w:pStyle w:val="3"/>
                    <w:keepNext w:val="0"/>
                    <w:keepLines w:val="0"/>
                    <w:pageBreakBefore w:val="0"/>
                    <w:widowControl w:val="0"/>
                    <w:kinsoku/>
                    <w:wordWrap/>
                    <w:overflowPunct/>
                    <w:topLinePunct w:val="0"/>
                    <w:autoSpaceDE/>
                    <w:autoSpaceDN/>
                    <w:bidi w:val="0"/>
                    <w:adjustRightInd/>
                    <w:snapToGrid w:val="0"/>
                    <w:spacing w:before="0" w:after="0" w:line="240" w:lineRule="auto"/>
                    <w:jc w:val="both"/>
                    <w:textAlignment w:val="auto"/>
                    <w:rPr>
                      <w:rFonts w:hint="default" w:ascii="Times New Roman" w:hAnsi="Times New Roman" w:eastAsia="宋体" w:cs="Times New Roman"/>
                      <w:b w:val="0"/>
                      <w:bCs w:val="0"/>
                      <w:color w:val="auto"/>
                      <w:sz w:val="21"/>
                      <w:szCs w:val="21"/>
                      <w:highlight w:val="none"/>
                      <w:lang w:val="en-US" w:eastAsia="zh-CN"/>
                    </w:rPr>
                  </w:pPr>
                </w:p>
              </w:tc>
              <w:tc>
                <w:tcPr>
                  <w:tcW w:w="386" w:type="pct"/>
                  <w:tcBorders>
                    <w:tl2br w:val="nil"/>
                    <w:tr2bl w:val="nil"/>
                  </w:tcBorders>
                  <w:noWrap w:val="0"/>
                  <w:vAlign w:val="center"/>
                </w:tcPr>
                <w:p w14:paraId="1C73A0FA">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w:t>
                  </w:r>
                  <w:r>
                    <w:rPr>
                      <w:rFonts w:hint="default" w:ascii="Times New Roman" w:hAnsi="Times New Roman" w:eastAsia="宋体" w:cs="Times New Roman"/>
                      <w:b w:val="0"/>
                      <w:bCs w:val="0"/>
                      <w:color w:val="auto"/>
                      <w:sz w:val="21"/>
                      <w:szCs w:val="21"/>
                      <w:highlight w:val="none"/>
                      <w:lang w:val="en-US" w:eastAsia="zh-CN"/>
                    </w:rPr>
                    <w:t>套</w:t>
                  </w:r>
                </w:p>
              </w:tc>
              <w:tc>
                <w:tcPr>
                  <w:tcW w:w="1190" w:type="pct"/>
                  <w:vMerge w:val="continue"/>
                  <w:tcBorders>
                    <w:tl2br w:val="nil"/>
                    <w:tr2bl w:val="nil"/>
                  </w:tcBorders>
                  <w:noWrap w:val="0"/>
                  <w:vAlign w:val="center"/>
                </w:tcPr>
                <w:p w14:paraId="02D85895">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p>
              </w:tc>
            </w:tr>
            <w:tr w14:paraId="4D04C3D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9" w:type="pct"/>
                  <w:tcBorders>
                    <w:tl2br w:val="nil"/>
                    <w:tr2bl w:val="nil"/>
                  </w:tcBorders>
                  <w:noWrap w:val="0"/>
                  <w:vAlign w:val="center"/>
                </w:tcPr>
                <w:p w14:paraId="38B52C8F">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60" w:name="_Toc12671"/>
                  <w:r>
                    <w:rPr>
                      <w:rFonts w:hint="default" w:ascii="Times New Roman" w:hAnsi="Times New Roman" w:eastAsia="宋体" w:cs="Times New Roman"/>
                      <w:b w:val="0"/>
                      <w:bCs w:val="0"/>
                      <w:color w:val="auto"/>
                      <w:sz w:val="21"/>
                      <w:szCs w:val="21"/>
                      <w:highlight w:val="none"/>
                      <w:lang w:val="en-US" w:eastAsia="zh-CN"/>
                    </w:rPr>
                    <w:t>主变</w:t>
                  </w:r>
                  <w:bookmarkEnd w:id="60"/>
                </w:p>
              </w:tc>
              <w:tc>
                <w:tcPr>
                  <w:tcW w:w="441" w:type="pct"/>
                  <w:tcBorders>
                    <w:tl2br w:val="nil"/>
                    <w:tr2bl w:val="nil"/>
                  </w:tcBorders>
                  <w:noWrap w:val="0"/>
                  <w:vAlign w:val="center"/>
                </w:tcPr>
                <w:p w14:paraId="65C7A8F8">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61" w:name="_Toc923"/>
                  <w:r>
                    <w:rPr>
                      <w:rFonts w:hint="default" w:ascii="Times New Roman" w:hAnsi="Times New Roman" w:eastAsia="宋体" w:cs="Times New Roman"/>
                      <w:b w:val="0"/>
                      <w:bCs w:val="0"/>
                      <w:color w:val="auto"/>
                      <w:sz w:val="21"/>
                      <w:szCs w:val="21"/>
                      <w:highlight w:val="none"/>
                      <w:lang w:val="en-US" w:eastAsia="zh-CN"/>
                    </w:rPr>
                    <w:t>变压</w:t>
                  </w:r>
                  <w:bookmarkEnd w:id="61"/>
                </w:p>
                <w:p w14:paraId="6E61B4BD">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62" w:name="_Toc7791"/>
                  <w:r>
                    <w:rPr>
                      <w:rFonts w:hint="default" w:ascii="Times New Roman" w:hAnsi="Times New Roman" w:eastAsia="宋体" w:cs="Times New Roman"/>
                      <w:b w:val="0"/>
                      <w:bCs w:val="0"/>
                      <w:color w:val="auto"/>
                      <w:sz w:val="21"/>
                      <w:szCs w:val="21"/>
                      <w:highlight w:val="none"/>
                      <w:lang w:val="en-US" w:eastAsia="zh-CN"/>
                    </w:rPr>
                    <w:t>器油</w:t>
                  </w:r>
                  <w:bookmarkEnd w:id="62"/>
                </w:p>
              </w:tc>
              <w:tc>
                <w:tcPr>
                  <w:tcW w:w="806" w:type="pct"/>
                  <w:tcBorders>
                    <w:tl2br w:val="nil"/>
                    <w:tr2bl w:val="nil"/>
                  </w:tcBorders>
                  <w:noWrap w:val="0"/>
                  <w:vAlign w:val="center"/>
                </w:tcPr>
                <w:p w14:paraId="48BF76B8">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63" w:name="_Toc15013"/>
                  <w:r>
                    <w:rPr>
                      <w:rFonts w:hint="default" w:ascii="Times New Roman" w:hAnsi="Times New Roman" w:eastAsia="宋体" w:cs="Times New Roman"/>
                      <w:b w:val="0"/>
                      <w:bCs w:val="0"/>
                      <w:color w:val="auto"/>
                      <w:sz w:val="21"/>
                      <w:szCs w:val="21"/>
                      <w:highlight w:val="none"/>
                      <w:lang w:val="en-US" w:eastAsia="zh-CN"/>
                    </w:rPr>
                    <w:t>危险废物</w:t>
                  </w:r>
                  <w:bookmarkEnd w:id="63"/>
                </w:p>
                <w:p w14:paraId="21878542">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64" w:name="_Toc32609"/>
                  <w:r>
                    <w:rPr>
                      <w:rFonts w:hint="default" w:ascii="Times New Roman" w:hAnsi="Times New Roman" w:eastAsia="宋体" w:cs="Times New Roman"/>
                      <w:b w:val="0"/>
                      <w:bCs w:val="0"/>
                      <w:color w:val="auto"/>
                      <w:sz w:val="21"/>
                      <w:szCs w:val="21"/>
                      <w:highlight w:val="none"/>
                      <w:lang w:val="en-US" w:eastAsia="zh-CN"/>
                    </w:rPr>
                    <w:t>900-220-08</w:t>
                  </w:r>
                  <w:bookmarkEnd w:id="64"/>
                </w:p>
              </w:tc>
              <w:tc>
                <w:tcPr>
                  <w:tcW w:w="274" w:type="pct"/>
                  <w:tcBorders>
                    <w:tl2br w:val="nil"/>
                    <w:tr2bl w:val="nil"/>
                  </w:tcBorders>
                  <w:noWrap w:val="0"/>
                  <w:vAlign w:val="center"/>
                </w:tcPr>
                <w:p w14:paraId="1E08B49D">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65" w:name="_Toc1734"/>
                  <w:r>
                    <w:rPr>
                      <w:rFonts w:hint="default" w:ascii="Times New Roman" w:hAnsi="Times New Roman" w:eastAsia="宋体" w:cs="Times New Roman"/>
                      <w:b w:val="0"/>
                      <w:bCs w:val="0"/>
                      <w:color w:val="auto"/>
                      <w:sz w:val="21"/>
                      <w:szCs w:val="21"/>
                      <w:highlight w:val="none"/>
                      <w:lang w:val="en-US" w:eastAsia="zh-CN"/>
                    </w:rPr>
                    <w:t>液态</w:t>
                  </w:r>
                  <w:bookmarkEnd w:id="65"/>
                </w:p>
              </w:tc>
              <w:tc>
                <w:tcPr>
                  <w:tcW w:w="372" w:type="pct"/>
                  <w:tcBorders>
                    <w:tl2br w:val="nil"/>
                    <w:tr2bl w:val="nil"/>
                  </w:tcBorders>
                  <w:noWrap w:val="0"/>
                  <w:vAlign w:val="center"/>
                </w:tcPr>
                <w:p w14:paraId="03CD33D1">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66" w:name="_Toc19129"/>
                  <w:r>
                    <w:rPr>
                      <w:rFonts w:hint="default" w:ascii="Times New Roman" w:hAnsi="Times New Roman" w:eastAsia="宋体" w:cs="Times New Roman"/>
                      <w:b w:val="0"/>
                      <w:bCs w:val="0"/>
                      <w:color w:val="auto"/>
                      <w:sz w:val="21"/>
                      <w:szCs w:val="21"/>
                      <w:highlight w:val="none"/>
                      <w:lang w:val="en-US" w:eastAsia="zh-CN"/>
                    </w:rPr>
                    <w:t>T，I</w:t>
                  </w:r>
                  <w:bookmarkEnd w:id="66"/>
                </w:p>
              </w:tc>
              <w:tc>
                <w:tcPr>
                  <w:tcW w:w="386" w:type="pct"/>
                  <w:tcBorders>
                    <w:tl2br w:val="nil"/>
                    <w:tr2bl w:val="nil"/>
                  </w:tcBorders>
                  <w:noWrap w:val="0"/>
                  <w:vAlign w:val="center"/>
                </w:tcPr>
                <w:p w14:paraId="3B926C1C">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67" w:name="_Toc8107"/>
                  <w:r>
                    <w:rPr>
                      <w:rFonts w:hint="eastAsia" w:ascii="Times New Roman" w:hAnsi="Times New Roman" w:eastAsia="宋体" w:cs="Times New Roman"/>
                      <w:b w:val="0"/>
                      <w:bCs w:val="0"/>
                      <w:color w:val="auto"/>
                      <w:sz w:val="21"/>
                      <w:szCs w:val="21"/>
                      <w:highlight w:val="none"/>
                      <w:lang w:val="en-US" w:eastAsia="zh-CN"/>
                    </w:rPr>
                    <w:t>0.5</w:t>
                  </w:r>
                  <w:bookmarkEnd w:id="67"/>
                </w:p>
              </w:tc>
              <w:tc>
                <w:tcPr>
                  <w:tcW w:w="762" w:type="pct"/>
                  <w:vMerge w:val="restart"/>
                  <w:tcBorders>
                    <w:tl2br w:val="nil"/>
                    <w:tr2bl w:val="nil"/>
                  </w:tcBorders>
                  <w:noWrap w:val="0"/>
                  <w:vAlign w:val="center"/>
                </w:tcPr>
                <w:p w14:paraId="7DC6D801">
                  <w:pPr>
                    <w:pStyle w:val="3"/>
                    <w:keepNext w:val="0"/>
                    <w:keepLines w:val="0"/>
                    <w:pageBreakBefore w:val="0"/>
                    <w:widowControl w:val="0"/>
                    <w:kinsoku/>
                    <w:wordWrap/>
                    <w:overflowPunct/>
                    <w:topLinePunct w:val="0"/>
                    <w:autoSpaceDE/>
                    <w:autoSpaceDN/>
                    <w:bidi w:val="0"/>
                    <w:adjustRightInd/>
                    <w:snapToGrid w:val="0"/>
                    <w:spacing w:before="0" w:after="0" w:line="240" w:lineRule="auto"/>
                    <w:jc w:val="both"/>
                    <w:textAlignment w:val="auto"/>
                    <w:rPr>
                      <w:rFonts w:hint="default" w:ascii="Times New Roman" w:hAnsi="Times New Roman" w:eastAsia="宋体" w:cs="Times New Roman"/>
                      <w:b w:val="0"/>
                      <w:bCs w:val="0"/>
                      <w:color w:val="auto"/>
                      <w:sz w:val="21"/>
                      <w:szCs w:val="21"/>
                      <w:highlight w:val="none"/>
                      <w:lang w:val="en-US" w:eastAsia="zh-CN"/>
                    </w:rPr>
                  </w:pPr>
                  <w:bookmarkStart w:id="68" w:name="_Toc28903"/>
                  <w:r>
                    <w:rPr>
                      <w:rFonts w:hint="default" w:ascii="Times New Roman" w:hAnsi="Times New Roman" w:eastAsia="宋体" w:cs="Times New Roman"/>
                      <w:b w:val="0"/>
                      <w:bCs w:val="0"/>
                      <w:color w:val="auto"/>
                      <w:sz w:val="21"/>
                      <w:szCs w:val="21"/>
                      <w:highlight w:val="none"/>
                      <w:lang w:val="en-US" w:eastAsia="zh-CN"/>
                    </w:rPr>
                    <w:t>暂存于危废贮存库，定期交由危废处理资质单位处理</w:t>
                  </w:r>
                  <w:bookmarkEnd w:id="68"/>
                </w:p>
                <w:p w14:paraId="54AA9B20">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p>
              </w:tc>
              <w:tc>
                <w:tcPr>
                  <w:tcW w:w="386" w:type="pct"/>
                  <w:tcBorders>
                    <w:tl2br w:val="nil"/>
                    <w:tr2bl w:val="nil"/>
                  </w:tcBorders>
                  <w:noWrap w:val="0"/>
                  <w:vAlign w:val="center"/>
                </w:tcPr>
                <w:p w14:paraId="4BA30074">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69" w:name="_Toc13740"/>
                  <w:r>
                    <w:rPr>
                      <w:rFonts w:hint="eastAsia" w:ascii="Times New Roman" w:hAnsi="Times New Roman" w:eastAsia="宋体" w:cs="Times New Roman"/>
                      <w:b w:val="0"/>
                      <w:bCs w:val="0"/>
                      <w:color w:val="auto"/>
                      <w:sz w:val="21"/>
                      <w:szCs w:val="21"/>
                      <w:highlight w:val="none"/>
                      <w:lang w:val="en-US" w:eastAsia="zh-CN"/>
                    </w:rPr>
                    <w:t>0.5</w:t>
                  </w:r>
                  <w:bookmarkEnd w:id="69"/>
                </w:p>
              </w:tc>
              <w:tc>
                <w:tcPr>
                  <w:tcW w:w="1190" w:type="pct"/>
                  <w:vMerge w:val="restart"/>
                  <w:tcBorders>
                    <w:tl2br w:val="nil"/>
                    <w:tr2bl w:val="nil"/>
                  </w:tcBorders>
                  <w:noWrap w:val="0"/>
                  <w:vAlign w:val="center"/>
                </w:tcPr>
                <w:p w14:paraId="107BB7B6">
                  <w:pPr>
                    <w:pStyle w:val="3"/>
                    <w:keepNext w:val="0"/>
                    <w:keepLines w:val="0"/>
                    <w:pageBreakBefore w:val="0"/>
                    <w:widowControl w:val="0"/>
                    <w:kinsoku/>
                    <w:wordWrap/>
                    <w:overflowPunct/>
                    <w:topLinePunct w:val="0"/>
                    <w:autoSpaceDE/>
                    <w:autoSpaceDN/>
                    <w:bidi w:val="0"/>
                    <w:adjustRightInd/>
                    <w:snapToGrid w:val="0"/>
                    <w:spacing w:before="0" w:after="0" w:line="240" w:lineRule="auto"/>
                    <w:jc w:val="both"/>
                    <w:textAlignment w:val="auto"/>
                    <w:rPr>
                      <w:rFonts w:hint="default" w:ascii="Times New Roman" w:hAnsi="Times New Roman" w:eastAsia="宋体" w:cs="Times New Roman"/>
                      <w:b w:val="0"/>
                      <w:bCs w:val="0"/>
                      <w:color w:val="auto"/>
                      <w:sz w:val="21"/>
                      <w:szCs w:val="21"/>
                      <w:highlight w:val="none"/>
                      <w:lang w:val="en-US" w:eastAsia="zh-CN"/>
                    </w:rPr>
                  </w:pPr>
                  <w:bookmarkStart w:id="70" w:name="_Toc995"/>
                  <w:r>
                    <w:rPr>
                      <w:rFonts w:hint="default" w:ascii="Times New Roman" w:hAnsi="Times New Roman" w:eastAsia="宋体" w:cs="Times New Roman"/>
                      <w:b w:val="0"/>
                      <w:bCs w:val="0"/>
                      <w:color w:val="auto"/>
                      <w:spacing w:val="-6"/>
                      <w:sz w:val="21"/>
                      <w:szCs w:val="21"/>
                      <w:highlight w:val="none"/>
                      <w:lang w:val="en-US" w:eastAsia="zh-CN"/>
                    </w:rPr>
                    <w:t>应按照《危险废物贮存污染控制标准》（GB18597-2023）要求妥善收集、储存危险废物；应记录危险废物的产生量、贮存量、转移量、处置量及去向。相关记录形成台账。</w:t>
                  </w:r>
                  <w:bookmarkEnd w:id="70"/>
                </w:p>
              </w:tc>
            </w:tr>
            <w:tr w14:paraId="424C820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9" w:type="pct"/>
                  <w:tcBorders>
                    <w:tl2br w:val="nil"/>
                    <w:tr2bl w:val="nil"/>
                  </w:tcBorders>
                  <w:noWrap w:val="0"/>
                  <w:vAlign w:val="center"/>
                </w:tcPr>
                <w:p w14:paraId="69917773">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71" w:name="_Toc12764"/>
                  <w:r>
                    <w:rPr>
                      <w:rFonts w:hint="default" w:ascii="Times New Roman" w:hAnsi="Times New Roman" w:eastAsia="宋体" w:cs="Times New Roman"/>
                      <w:b w:val="0"/>
                      <w:bCs w:val="0"/>
                      <w:color w:val="auto"/>
                      <w:sz w:val="21"/>
                      <w:szCs w:val="21"/>
                      <w:highlight w:val="none"/>
                      <w:lang w:val="en-US" w:eastAsia="zh-CN"/>
                    </w:rPr>
                    <w:t>设备维修维护</w:t>
                  </w:r>
                  <w:bookmarkEnd w:id="71"/>
                </w:p>
              </w:tc>
              <w:tc>
                <w:tcPr>
                  <w:tcW w:w="441" w:type="pct"/>
                  <w:tcBorders>
                    <w:tl2br w:val="nil"/>
                    <w:tr2bl w:val="nil"/>
                  </w:tcBorders>
                  <w:noWrap w:val="0"/>
                  <w:vAlign w:val="center"/>
                </w:tcPr>
                <w:p w14:paraId="6A2271E0">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72" w:name="_Toc21380"/>
                  <w:r>
                    <w:rPr>
                      <w:rFonts w:hint="default" w:ascii="Times New Roman" w:hAnsi="Times New Roman" w:eastAsia="宋体" w:cs="Times New Roman"/>
                      <w:b w:val="0"/>
                      <w:bCs w:val="0"/>
                      <w:color w:val="auto"/>
                      <w:sz w:val="21"/>
                      <w:szCs w:val="21"/>
                      <w:highlight w:val="none"/>
                      <w:lang w:val="en-US" w:eastAsia="zh-CN"/>
                    </w:rPr>
                    <w:t>废润</w:t>
                  </w:r>
                  <w:bookmarkEnd w:id="72"/>
                </w:p>
                <w:p w14:paraId="2EE700E0">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73" w:name="_Toc19329"/>
                  <w:r>
                    <w:rPr>
                      <w:rFonts w:hint="default" w:ascii="Times New Roman" w:hAnsi="Times New Roman" w:eastAsia="宋体" w:cs="Times New Roman"/>
                      <w:b w:val="0"/>
                      <w:bCs w:val="0"/>
                      <w:color w:val="auto"/>
                      <w:sz w:val="21"/>
                      <w:szCs w:val="21"/>
                      <w:highlight w:val="none"/>
                      <w:lang w:val="en-US" w:eastAsia="zh-CN"/>
                    </w:rPr>
                    <w:t>滑油</w:t>
                  </w:r>
                  <w:bookmarkEnd w:id="73"/>
                </w:p>
              </w:tc>
              <w:tc>
                <w:tcPr>
                  <w:tcW w:w="806" w:type="pct"/>
                  <w:tcBorders>
                    <w:tl2br w:val="nil"/>
                    <w:tr2bl w:val="nil"/>
                  </w:tcBorders>
                  <w:noWrap w:val="0"/>
                  <w:vAlign w:val="center"/>
                </w:tcPr>
                <w:p w14:paraId="70B69D93">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74" w:name="_Toc28062"/>
                  <w:r>
                    <w:rPr>
                      <w:rFonts w:hint="default" w:ascii="Times New Roman" w:hAnsi="Times New Roman" w:eastAsia="宋体" w:cs="Times New Roman"/>
                      <w:b w:val="0"/>
                      <w:bCs w:val="0"/>
                      <w:color w:val="auto"/>
                      <w:sz w:val="21"/>
                      <w:szCs w:val="21"/>
                      <w:highlight w:val="none"/>
                      <w:lang w:val="en-US" w:eastAsia="zh-CN"/>
                    </w:rPr>
                    <w:t>危险废物900-214-08</w:t>
                  </w:r>
                  <w:bookmarkEnd w:id="74"/>
                </w:p>
              </w:tc>
              <w:tc>
                <w:tcPr>
                  <w:tcW w:w="274" w:type="pct"/>
                  <w:tcBorders>
                    <w:tl2br w:val="nil"/>
                    <w:tr2bl w:val="nil"/>
                  </w:tcBorders>
                  <w:noWrap w:val="0"/>
                  <w:vAlign w:val="center"/>
                </w:tcPr>
                <w:p w14:paraId="75157C05">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75" w:name="_Toc17975"/>
                  <w:r>
                    <w:rPr>
                      <w:rFonts w:hint="default" w:ascii="Times New Roman" w:hAnsi="Times New Roman" w:eastAsia="宋体" w:cs="Times New Roman"/>
                      <w:b w:val="0"/>
                      <w:bCs w:val="0"/>
                      <w:color w:val="auto"/>
                      <w:sz w:val="21"/>
                      <w:szCs w:val="21"/>
                      <w:highlight w:val="none"/>
                      <w:lang w:val="en-US" w:eastAsia="zh-CN"/>
                    </w:rPr>
                    <w:t>液态</w:t>
                  </w:r>
                  <w:bookmarkEnd w:id="75"/>
                </w:p>
              </w:tc>
              <w:tc>
                <w:tcPr>
                  <w:tcW w:w="372" w:type="pct"/>
                  <w:tcBorders>
                    <w:tl2br w:val="nil"/>
                    <w:tr2bl w:val="nil"/>
                  </w:tcBorders>
                  <w:noWrap w:val="0"/>
                  <w:vAlign w:val="center"/>
                </w:tcPr>
                <w:p w14:paraId="73262169">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76" w:name="_Toc10255"/>
                  <w:r>
                    <w:rPr>
                      <w:rFonts w:hint="default" w:ascii="Times New Roman" w:hAnsi="Times New Roman" w:eastAsia="宋体" w:cs="Times New Roman"/>
                      <w:b w:val="0"/>
                      <w:bCs w:val="0"/>
                      <w:color w:val="auto"/>
                      <w:sz w:val="21"/>
                      <w:szCs w:val="21"/>
                      <w:highlight w:val="none"/>
                      <w:lang w:val="en-US" w:eastAsia="zh-CN"/>
                    </w:rPr>
                    <w:t>T，I</w:t>
                  </w:r>
                  <w:bookmarkEnd w:id="76"/>
                </w:p>
              </w:tc>
              <w:tc>
                <w:tcPr>
                  <w:tcW w:w="386" w:type="pct"/>
                  <w:tcBorders>
                    <w:tl2br w:val="nil"/>
                    <w:tr2bl w:val="nil"/>
                  </w:tcBorders>
                  <w:noWrap w:val="0"/>
                  <w:vAlign w:val="center"/>
                </w:tcPr>
                <w:p w14:paraId="1EB2B5A7">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0.2</w:t>
                  </w:r>
                </w:p>
              </w:tc>
              <w:tc>
                <w:tcPr>
                  <w:tcW w:w="762" w:type="pct"/>
                  <w:vMerge w:val="continue"/>
                  <w:tcBorders>
                    <w:tl2br w:val="nil"/>
                    <w:tr2bl w:val="nil"/>
                  </w:tcBorders>
                  <w:noWrap w:val="0"/>
                  <w:vAlign w:val="center"/>
                </w:tcPr>
                <w:p w14:paraId="0E74E7DD">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p>
              </w:tc>
              <w:tc>
                <w:tcPr>
                  <w:tcW w:w="386" w:type="pct"/>
                  <w:tcBorders>
                    <w:tl2br w:val="nil"/>
                    <w:tr2bl w:val="nil"/>
                  </w:tcBorders>
                  <w:noWrap w:val="0"/>
                  <w:vAlign w:val="center"/>
                </w:tcPr>
                <w:p w14:paraId="56D1C9A9">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0.2</w:t>
                  </w:r>
                </w:p>
              </w:tc>
              <w:tc>
                <w:tcPr>
                  <w:tcW w:w="1190" w:type="pct"/>
                  <w:vMerge w:val="continue"/>
                  <w:tcBorders>
                    <w:tl2br w:val="nil"/>
                    <w:tr2bl w:val="nil"/>
                  </w:tcBorders>
                  <w:noWrap w:val="0"/>
                  <w:vAlign w:val="center"/>
                </w:tcPr>
                <w:p w14:paraId="11EA1BB7">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p>
              </w:tc>
            </w:tr>
            <w:tr w14:paraId="105EBC6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9" w:type="pct"/>
                  <w:tcBorders>
                    <w:tl2br w:val="nil"/>
                    <w:tr2bl w:val="nil"/>
                  </w:tcBorders>
                  <w:noWrap w:val="0"/>
                  <w:vAlign w:val="center"/>
                </w:tcPr>
                <w:p w14:paraId="752B2E8C">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77" w:name="_Toc21824"/>
                  <w:r>
                    <w:rPr>
                      <w:rFonts w:hint="default" w:ascii="Times New Roman" w:hAnsi="Times New Roman" w:eastAsia="宋体" w:cs="Times New Roman"/>
                      <w:b w:val="0"/>
                      <w:bCs w:val="0"/>
                      <w:color w:val="auto"/>
                      <w:sz w:val="21"/>
                      <w:szCs w:val="21"/>
                      <w:highlight w:val="none"/>
                      <w:lang w:val="en-US" w:eastAsia="zh-CN"/>
                    </w:rPr>
                    <w:t>设备维修维护</w:t>
                  </w:r>
                  <w:bookmarkEnd w:id="77"/>
                </w:p>
              </w:tc>
              <w:tc>
                <w:tcPr>
                  <w:tcW w:w="441" w:type="pct"/>
                  <w:tcBorders>
                    <w:tl2br w:val="nil"/>
                    <w:tr2bl w:val="nil"/>
                  </w:tcBorders>
                  <w:noWrap w:val="0"/>
                  <w:vAlign w:val="center"/>
                </w:tcPr>
                <w:p w14:paraId="63EA25F3">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78" w:name="_Toc30149"/>
                  <w:r>
                    <w:rPr>
                      <w:rFonts w:hint="default" w:ascii="Times New Roman" w:hAnsi="Times New Roman" w:eastAsia="宋体" w:cs="Times New Roman"/>
                      <w:b w:val="0"/>
                      <w:bCs w:val="0"/>
                      <w:color w:val="auto"/>
                      <w:sz w:val="21"/>
                      <w:szCs w:val="21"/>
                      <w:highlight w:val="none"/>
                      <w:lang w:val="en-US" w:eastAsia="zh-CN"/>
                    </w:rPr>
                    <w:t>含油</w:t>
                  </w:r>
                  <w:bookmarkEnd w:id="78"/>
                </w:p>
                <w:p w14:paraId="05C252DA">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79" w:name="_Toc15859"/>
                  <w:r>
                    <w:rPr>
                      <w:rFonts w:hint="default" w:ascii="Times New Roman" w:hAnsi="Times New Roman" w:eastAsia="宋体" w:cs="Times New Roman"/>
                      <w:b w:val="0"/>
                      <w:bCs w:val="0"/>
                      <w:color w:val="auto"/>
                      <w:sz w:val="21"/>
                      <w:szCs w:val="21"/>
                      <w:highlight w:val="none"/>
                      <w:lang w:val="en-US" w:eastAsia="zh-CN"/>
                    </w:rPr>
                    <w:t>抹布</w:t>
                  </w:r>
                  <w:bookmarkEnd w:id="79"/>
                </w:p>
              </w:tc>
              <w:tc>
                <w:tcPr>
                  <w:tcW w:w="806" w:type="pct"/>
                  <w:tcBorders>
                    <w:tl2br w:val="nil"/>
                    <w:tr2bl w:val="nil"/>
                  </w:tcBorders>
                  <w:noWrap w:val="0"/>
                  <w:vAlign w:val="center"/>
                </w:tcPr>
                <w:p w14:paraId="669B8BB6">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80" w:name="_Toc3874"/>
                  <w:r>
                    <w:rPr>
                      <w:rFonts w:hint="default" w:ascii="Times New Roman" w:hAnsi="Times New Roman" w:eastAsia="宋体" w:cs="Times New Roman"/>
                      <w:b w:val="0"/>
                      <w:bCs w:val="0"/>
                      <w:color w:val="auto"/>
                      <w:sz w:val="21"/>
                      <w:szCs w:val="21"/>
                      <w:highlight w:val="none"/>
                      <w:lang w:val="en-US" w:eastAsia="zh-CN"/>
                    </w:rPr>
                    <w:t>危险废物</w:t>
                  </w:r>
                  <w:bookmarkEnd w:id="80"/>
                </w:p>
                <w:p w14:paraId="6D4A355B">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81" w:name="_Toc27035"/>
                  <w:r>
                    <w:rPr>
                      <w:rFonts w:hint="default" w:ascii="Times New Roman" w:hAnsi="Times New Roman" w:eastAsia="宋体" w:cs="Times New Roman"/>
                      <w:b w:val="0"/>
                      <w:bCs w:val="0"/>
                      <w:color w:val="auto"/>
                      <w:sz w:val="21"/>
                      <w:szCs w:val="21"/>
                      <w:highlight w:val="none"/>
                      <w:lang w:val="en-US" w:eastAsia="zh-CN"/>
                    </w:rPr>
                    <w:t>900-041-49</w:t>
                  </w:r>
                  <w:bookmarkEnd w:id="81"/>
                </w:p>
              </w:tc>
              <w:tc>
                <w:tcPr>
                  <w:tcW w:w="274" w:type="pct"/>
                  <w:tcBorders>
                    <w:tl2br w:val="nil"/>
                    <w:tr2bl w:val="nil"/>
                  </w:tcBorders>
                  <w:noWrap w:val="0"/>
                  <w:vAlign w:val="center"/>
                </w:tcPr>
                <w:p w14:paraId="1FCB4CAB">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82" w:name="_Toc20114"/>
                  <w:r>
                    <w:rPr>
                      <w:rFonts w:hint="default" w:ascii="Times New Roman" w:hAnsi="Times New Roman" w:eastAsia="宋体" w:cs="Times New Roman"/>
                      <w:b w:val="0"/>
                      <w:bCs w:val="0"/>
                      <w:color w:val="auto"/>
                      <w:sz w:val="21"/>
                      <w:szCs w:val="21"/>
                      <w:highlight w:val="none"/>
                      <w:lang w:val="en-US" w:eastAsia="zh-CN"/>
                    </w:rPr>
                    <w:t>固态</w:t>
                  </w:r>
                  <w:bookmarkEnd w:id="82"/>
                </w:p>
              </w:tc>
              <w:tc>
                <w:tcPr>
                  <w:tcW w:w="372" w:type="pct"/>
                  <w:tcBorders>
                    <w:tl2br w:val="nil"/>
                    <w:tr2bl w:val="nil"/>
                  </w:tcBorders>
                  <w:noWrap w:val="0"/>
                  <w:vAlign w:val="center"/>
                </w:tcPr>
                <w:p w14:paraId="313FA1D9">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83" w:name="_Toc26426"/>
                  <w:r>
                    <w:rPr>
                      <w:rFonts w:hint="default" w:ascii="Times New Roman" w:hAnsi="Times New Roman" w:eastAsia="宋体" w:cs="Times New Roman"/>
                      <w:b w:val="0"/>
                      <w:bCs w:val="0"/>
                      <w:color w:val="auto"/>
                      <w:sz w:val="21"/>
                      <w:szCs w:val="21"/>
                      <w:highlight w:val="none"/>
                      <w:lang w:val="en-US" w:eastAsia="zh-CN"/>
                    </w:rPr>
                    <w:t>T/In</w:t>
                  </w:r>
                  <w:bookmarkEnd w:id="83"/>
                </w:p>
              </w:tc>
              <w:tc>
                <w:tcPr>
                  <w:tcW w:w="386" w:type="pct"/>
                  <w:tcBorders>
                    <w:tl2br w:val="nil"/>
                    <w:tr2bl w:val="nil"/>
                  </w:tcBorders>
                  <w:noWrap w:val="0"/>
                  <w:vAlign w:val="center"/>
                </w:tcPr>
                <w:p w14:paraId="0526A757">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84" w:name="_Toc6287"/>
                  <w:r>
                    <w:rPr>
                      <w:rFonts w:hint="eastAsia" w:ascii="Times New Roman" w:hAnsi="Times New Roman" w:eastAsia="宋体" w:cs="Times New Roman"/>
                      <w:b w:val="0"/>
                      <w:bCs w:val="0"/>
                      <w:color w:val="auto"/>
                      <w:sz w:val="21"/>
                      <w:szCs w:val="21"/>
                      <w:highlight w:val="none"/>
                      <w:lang w:val="en-US" w:eastAsia="zh-CN"/>
                    </w:rPr>
                    <w:t>0.01</w:t>
                  </w:r>
                  <w:bookmarkEnd w:id="84"/>
                </w:p>
              </w:tc>
              <w:tc>
                <w:tcPr>
                  <w:tcW w:w="762" w:type="pct"/>
                  <w:vMerge w:val="continue"/>
                  <w:tcBorders>
                    <w:tl2br w:val="nil"/>
                    <w:tr2bl w:val="nil"/>
                  </w:tcBorders>
                  <w:noWrap w:val="0"/>
                  <w:vAlign w:val="center"/>
                </w:tcPr>
                <w:p w14:paraId="28B7D3E0">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p>
              </w:tc>
              <w:tc>
                <w:tcPr>
                  <w:tcW w:w="386" w:type="pct"/>
                  <w:tcBorders>
                    <w:tl2br w:val="nil"/>
                    <w:tr2bl w:val="nil"/>
                  </w:tcBorders>
                  <w:noWrap w:val="0"/>
                  <w:vAlign w:val="center"/>
                </w:tcPr>
                <w:p w14:paraId="7919438B">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85" w:name="_Toc23769"/>
                  <w:r>
                    <w:rPr>
                      <w:rFonts w:hint="eastAsia" w:ascii="Times New Roman" w:hAnsi="Times New Roman" w:eastAsia="宋体" w:cs="Times New Roman"/>
                      <w:b w:val="0"/>
                      <w:bCs w:val="0"/>
                      <w:color w:val="auto"/>
                      <w:sz w:val="21"/>
                      <w:szCs w:val="21"/>
                      <w:highlight w:val="none"/>
                      <w:lang w:val="en-US" w:eastAsia="zh-CN"/>
                    </w:rPr>
                    <w:t>0.01</w:t>
                  </w:r>
                  <w:bookmarkEnd w:id="85"/>
                </w:p>
              </w:tc>
              <w:tc>
                <w:tcPr>
                  <w:tcW w:w="1190" w:type="pct"/>
                  <w:vMerge w:val="continue"/>
                  <w:tcBorders>
                    <w:tl2br w:val="nil"/>
                    <w:tr2bl w:val="nil"/>
                  </w:tcBorders>
                  <w:noWrap w:val="0"/>
                  <w:vAlign w:val="center"/>
                </w:tcPr>
                <w:p w14:paraId="5186E694">
                  <w:pPr>
                    <w:pStyle w:val="3"/>
                    <w:keepNext w:val="0"/>
                    <w:keepLines w:val="0"/>
                    <w:pageBreakBefore w:val="0"/>
                    <w:widowControl w:val="0"/>
                    <w:kinsoku/>
                    <w:wordWrap/>
                    <w:overflowPunct/>
                    <w:topLinePunct w:val="0"/>
                    <w:autoSpaceDE/>
                    <w:autoSpaceDN/>
                    <w:bidi w:val="0"/>
                    <w:adjustRightInd/>
                    <w:snapToGrid w:val="0"/>
                    <w:spacing w:before="0" w:after="0" w:line="240" w:lineRule="auto"/>
                    <w:jc w:val="both"/>
                    <w:textAlignment w:val="auto"/>
                    <w:outlineLvl w:val="9"/>
                    <w:rPr>
                      <w:rFonts w:hint="default" w:ascii="Times New Roman" w:hAnsi="Times New Roman" w:eastAsia="宋体" w:cs="Times New Roman"/>
                      <w:b w:val="0"/>
                      <w:bCs w:val="0"/>
                      <w:color w:val="auto"/>
                      <w:sz w:val="21"/>
                      <w:szCs w:val="21"/>
                      <w:highlight w:val="none"/>
                      <w:lang w:val="en-US" w:eastAsia="zh-CN"/>
                    </w:rPr>
                  </w:pPr>
                </w:p>
              </w:tc>
            </w:tr>
            <w:tr w14:paraId="132D77E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9" w:type="pct"/>
                  <w:tcBorders>
                    <w:tl2br w:val="nil"/>
                    <w:tr2bl w:val="nil"/>
                  </w:tcBorders>
                  <w:noWrap w:val="0"/>
                  <w:vAlign w:val="center"/>
                </w:tcPr>
                <w:p w14:paraId="2C126D01">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86" w:name="_Toc26764"/>
                  <w:r>
                    <w:rPr>
                      <w:rFonts w:hint="default" w:ascii="Times New Roman" w:hAnsi="Times New Roman" w:eastAsia="宋体" w:cs="Times New Roman"/>
                      <w:b w:val="0"/>
                      <w:bCs w:val="0"/>
                      <w:color w:val="auto"/>
                      <w:sz w:val="21"/>
                      <w:szCs w:val="21"/>
                      <w:highlight w:val="none"/>
                      <w:lang w:val="en-US" w:eastAsia="zh-CN"/>
                    </w:rPr>
                    <w:t>主变</w:t>
                  </w:r>
                  <w:bookmarkEnd w:id="86"/>
                </w:p>
                <w:p w14:paraId="600E27E8">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87" w:name="_Toc22378"/>
                  <w:r>
                    <w:rPr>
                      <w:rFonts w:hint="default" w:ascii="Times New Roman" w:hAnsi="Times New Roman" w:eastAsia="宋体" w:cs="Times New Roman"/>
                      <w:b w:val="0"/>
                      <w:bCs w:val="0"/>
                      <w:color w:val="auto"/>
                      <w:sz w:val="21"/>
                      <w:szCs w:val="21"/>
                      <w:highlight w:val="none"/>
                      <w:lang w:val="en-US" w:eastAsia="zh-CN"/>
                    </w:rPr>
                    <w:t>运行</w:t>
                  </w:r>
                  <w:bookmarkEnd w:id="87"/>
                </w:p>
              </w:tc>
              <w:tc>
                <w:tcPr>
                  <w:tcW w:w="441" w:type="pct"/>
                  <w:tcBorders>
                    <w:tl2br w:val="nil"/>
                    <w:tr2bl w:val="nil"/>
                  </w:tcBorders>
                  <w:noWrap w:val="0"/>
                  <w:vAlign w:val="center"/>
                </w:tcPr>
                <w:p w14:paraId="658D8DBE">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88" w:name="_Toc16860"/>
                  <w:r>
                    <w:rPr>
                      <w:rFonts w:hint="default" w:ascii="Times New Roman" w:hAnsi="Times New Roman" w:eastAsia="宋体" w:cs="Times New Roman"/>
                      <w:b w:val="0"/>
                      <w:bCs w:val="0"/>
                      <w:color w:val="auto"/>
                      <w:sz w:val="21"/>
                      <w:szCs w:val="21"/>
                      <w:highlight w:val="none"/>
                      <w:lang w:val="en-US" w:eastAsia="zh-CN"/>
                    </w:rPr>
                    <w:t>废旧蓄电池</w:t>
                  </w:r>
                  <w:bookmarkEnd w:id="88"/>
                </w:p>
              </w:tc>
              <w:tc>
                <w:tcPr>
                  <w:tcW w:w="806" w:type="pct"/>
                  <w:tcBorders>
                    <w:tl2br w:val="nil"/>
                    <w:tr2bl w:val="nil"/>
                  </w:tcBorders>
                  <w:noWrap w:val="0"/>
                  <w:vAlign w:val="center"/>
                </w:tcPr>
                <w:p w14:paraId="32B3B560">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89" w:name="_Toc22162"/>
                  <w:r>
                    <w:rPr>
                      <w:rFonts w:hint="default" w:ascii="Times New Roman" w:hAnsi="Times New Roman" w:eastAsia="宋体" w:cs="Times New Roman"/>
                      <w:b w:val="0"/>
                      <w:bCs w:val="0"/>
                      <w:color w:val="auto"/>
                      <w:sz w:val="21"/>
                      <w:szCs w:val="21"/>
                      <w:highlight w:val="none"/>
                      <w:lang w:val="en-US" w:eastAsia="zh-CN"/>
                    </w:rPr>
                    <w:t>危险废物900-052-31</w:t>
                  </w:r>
                  <w:bookmarkEnd w:id="89"/>
                </w:p>
              </w:tc>
              <w:tc>
                <w:tcPr>
                  <w:tcW w:w="274" w:type="pct"/>
                  <w:tcBorders>
                    <w:tl2br w:val="nil"/>
                    <w:tr2bl w:val="nil"/>
                  </w:tcBorders>
                  <w:noWrap w:val="0"/>
                  <w:vAlign w:val="center"/>
                </w:tcPr>
                <w:p w14:paraId="6F73ACCC">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90" w:name="_Toc28864"/>
                  <w:r>
                    <w:rPr>
                      <w:rFonts w:hint="default" w:ascii="Times New Roman" w:hAnsi="Times New Roman" w:eastAsia="宋体" w:cs="Times New Roman"/>
                      <w:b w:val="0"/>
                      <w:bCs w:val="0"/>
                      <w:color w:val="auto"/>
                      <w:sz w:val="21"/>
                      <w:szCs w:val="21"/>
                      <w:highlight w:val="none"/>
                      <w:lang w:val="en-US" w:eastAsia="zh-CN"/>
                    </w:rPr>
                    <w:t>固态</w:t>
                  </w:r>
                  <w:bookmarkEnd w:id="90"/>
                </w:p>
              </w:tc>
              <w:tc>
                <w:tcPr>
                  <w:tcW w:w="372" w:type="pct"/>
                  <w:tcBorders>
                    <w:tl2br w:val="nil"/>
                    <w:tr2bl w:val="nil"/>
                  </w:tcBorders>
                  <w:noWrap w:val="0"/>
                  <w:vAlign w:val="center"/>
                </w:tcPr>
                <w:p w14:paraId="3611C7F9">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91" w:name="_Toc23538"/>
                  <w:r>
                    <w:rPr>
                      <w:rFonts w:hint="default" w:ascii="Times New Roman" w:hAnsi="Times New Roman" w:eastAsia="宋体" w:cs="Times New Roman"/>
                      <w:b w:val="0"/>
                      <w:bCs w:val="0"/>
                      <w:color w:val="auto"/>
                      <w:sz w:val="21"/>
                      <w:szCs w:val="21"/>
                      <w:highlight w:val="none"/>
                      <w:lang w:val="en-US" w:eastAsia="zh-CN"/>
                    </w:rPr>
                    <w:t>T，C</w:t>
                  </w:r>
                  <w:bookmarkEnd w:id="91"/>
                </w:p>
              </w:tc>
              <w:tc>
                <w:tcPr>
                  <w:tcW w:w="386" w:type="pct"/>
                  <w:tcBorders>
                    <w:tl2br w:val="nil"/>
                    <w:tr2bl w:val="nil"/>
                  </w:tcBorders>
                  <w:noWrap w:val="0"/>
                  <w:vAlign w:val="center"/>
                </w:tcPr>
                <w:p w14:paraId="655D5E8C">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92" w:name="_Toc25877"/>
                  <w:r>
                    <w:rPr>
                      <w:rFonts w:hint="eastAsia" w:ascii="Times New Roman" w:hAnsi="Times New Roman" w:eastAsia="宋体" w:cs="Times New Roman"/>
                      <w:b w:val="0"/>
                      <w:bCs w:val="0"/>
                      <w:color w:val="auto"/>
                      <w:sz w:val="21"/>
                      <w:szCs w:val="21"/>
                      <w:highlight w:val="none"/>
                      <w:lang w:val="en-US" w:eastAsia="zh-CN"/>
                    </w:rPr>
                    <w:t>1</w:t>
                  </w:r>
                  <w:bookmarkEnd w:id="92"/>
                </w:p>
              </w:tc>
              <w:tc>
                <w:tcPr>
                  <w:tcW w:w="762" w:type="pct"/>
                  <w:vMerge w:val="continue"/>
                  <w:tcBorders>
                    <w:tl2br w:val="nil"/>
                    <w:tr2bl w:val="nil"/>
                  </w:tcBorders>
                  <w:noWrap w:val="0"/>
                  <w:vAlign w:val="center"/>
                </w:tcPr>
                <w:p w14:paraId="3BD24737">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p>
              </w:tc>
              <w:tc>
                <w:tcPr>
                  <w:tcW w:w="386" w:type="pct"/>
                  <w:tcBorders>
                    <w:tl2br w:val="nil"/>
                    <w:tr2bl w:val="nil"/>
                  </w:tcBorders>
                  <w:noWrap w:val="0"/>
                  <w:vAlign w:val="center"/>
                </w:tcPr>
                <w:p w14:paraId="176A5667">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93" w:name="_Toc16820"/>
                  <w:r>
                    <w:rPr>
                      <w:rFonts w:hint="eastAsia" w:ascii="Times New Roman" w:hAnsi="Times New Roman" w:eastAsia="宋体" w:cs="Times New Roman"/>
                      <w:b w:val="0"/>
                      <w:bCs w:val="0"/>
                      <w:color w:val="auto"/>
                      <w:sz w:val="21"/>
                      <w:szCs w:val="21"/>
                      <w:highlight w:val="none"/>
                      <w:lang w:val="en-US" w:eastAsia="zh-CN"/>
                    </w:rPr>
                    <w:t>1</w:t>
                  </w:r>
                  <w:bookmarkEnd w:id="93"/>
                </w:p>
              </w:tc>
              <w:tc>
                <w:tcPr>
                  <w:tcW w:w="1190" w:type="pct"/>
                  <w:vMerge w:val="continue"/>
                  <w:tcBorders>
                    <w:tl2br w:val="nil"/>
                    <w:tr2bl w:val="nil"/>
                  </w:tcBorders>
                  <w:noWrap w:val="0"/>
                  <w:vAlign w:val="center"/>
                </w:tcPr>
                <w:p w14:paraId="083F1B38">
                  <w:pPr>
                    <w:pStyle w:val="3"/>
                    <w:keepNext w:val="0"/>
                    <w:keepLines w:val="0"/>
                    <w:pageBreakBefore w:val="0"/>
                    <w:widowControl w:val="0"/>
                    <w:kinsoku/>
                    <w:wordWrap/>
                    <w:overflowPunct/>
                    <w:topLinePunct w:val="0"/>
                    <w:autoSpaceDE/>
                    <w:autoSpaceDN/>
                    <w:bidi w:val="0"/>
                    <w:adjustRightInd/>
                    <w:snapToGrid w:val="0"/>
                    <w:spacing w:before="0" w:after="0" w:line="240" w:lineRule="auto"/>
                    <w:jc w:val="both"/>
                    <w:textAlignment w:val="auto"/>
                    <w:outlineLvl w:val="9"/>
                    <w:rPr>
                      <w:rFonts w:hint="default" w:ascii="Times New Roman" w:hAnsi="Times New Roman" w:eastAsia="宋体" w:cs="Times New Roman"/>
                      <w:b w:val="0"/>
                      <w:bCs w:val="0"/>
                      <w:color w:val="auto"/>
                      <w:sz w:val="21"/>
                      <w:szCs w:val="21"/>
                      <w:highlight w:val="none"/>
                      <w:lang w:val="en-US" w:eastAsia="zh-CN"/>
                    </w:rPr>
                  </w:pPr>
                </w:p>
              </w:tc>
            </w:tr>
          </w:tbl>
          <w:p w14:paraId="43E0548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lang w:val="en-US" w:eastAsia="zh-CN"/>
              </w:rPr>
            </w:pPr>
            <w:r>
              <w:rPr>
                <w:rFonts w:hint="eastAsia"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lang w:val="en-US" w:eastAsia="zh-CN"/>
              </w:rPr>
              <w:t>电磁环境影响分析</w:t>
            </w:r>
          </w:p>
          <w:p w14:paraId="16661BA2">
            <w:pPr>
              <w:keepNext w:val="0"/>
              <w:keepLines w:val="0"/>
              <w:pageBreakBefore w:val="0"/>
              <w:widowControl w:val="0"/>
              <w:wordWrap/>
              <w:topLinePunct w:val="0"/>
              <w:bidi w:val="0"/>
              <w:spacing w:line="360" w:lineRule="auto"/>
              <w:ind w:firstLine="480" w:firstLineChars="200"/>
              <w:rPr>
                <w:rFonts w:hint="default" w:ascii="Times New Roman" w:hAnsi="Times New Roman" w:cs="Times New Roman"/>
                <w:color w:val="auto"/>
                <w:sz w:val="24"/>
                <w:highlight w:val="none"/>
              </w:rPr>
            </w:pPr>
            <w:r>
              <w:rPr>
                <w:rFonts w:hint="eastAsia" w:cs="Times New Roman"/>
                <w:color w:val="auto"/>
                <w:sz w:val="24"/>
                <w:highlight w:val="none"/>
                <w:lang w:eastAsia="zh-CN"/>
              </w:rPr>
              <w:t>本项目</w:t>
            </w:r>
            <w:r>
              <w:rPr>
                <w:rFonts w:hint="default" w:ascii="Times New Roman" w:hAnsi="Times New Roman" w:cs="Times New Roman"/>
                <w:color w:val="auto"/>
                <w:sz w:val="24"/>
                <w:highlight w:val="none"/>
              </w:rPr>
              <w:t>建成运行后产生的电磁场对评价范围内的电磁环境影响满足《电磁环境控制限值》（GB8702-2014）控制限值要求，项目对周边的电磁环境影响较小。</w:t>
            </w:r>
          </w:p>
          <w:p w14:paraId="35FF5F8F">
            <w:pPr>
              <w:keepNext w:val="0"/>
              <w:keepLines w:val="0"/>
              <w:pageBreakBefore w:val="0"/>
              <w:widowControl w:val="0"/>
              <w:wordWrap/>
              <w:topLinePunct w:val="0"/>
              <w:bidi w:val="0"/>
              <w:adjustRightInd w:val="0"/>
              <w:snapToGrid w:val="0"/>
              <w:spacing w:line="360" w:lineRule="auto"/>
              <w:rPr>
                <w:rFonts w:hint="default" w:ascii="Times New Roman" w:hAnsi="Times New Roman" w:cs="Times New Roman"/>
                <w:b/>
                <w:bCs/>
                <w:color w:val="auto"/>
                <w:kern w:val="0"/>
                <w:sz w:val="24"/>
                <w:highlight w:val="none"/>
              </w:rPr>
            </w:pPr>
            <w:r>
              <w:rPr>
                <w:rFonts w:hint="eastAsia" w:eastAsia="宋体" w:cs="Times New Roman"/>
                <w:b/>
                <w:bCs/>
                <w:color w:val="auto"/>
                <w:kern w:val="0"/>
                <w:sz w:val="24"/>
                <w:highlight w:val="none"/>
                <w:lang w:val="en-US" w:eastAsia="zh-CN"/>
              </w:rPr>
              <w:t>6</w:t>
            </w:r>
            <w:r>
              <w:rPr>
                <w:rFonts w:hint="default" w:ascii="Times New Roman" w:hAnsi="Times New Roman" w:eastAsia="宋体" w:cs="Times New Roman"/>
                <w:b/>
                <w:bCs/>
                <w:color w:val="auto"/>
                <w:kern w:val="0"/>
                <w:sz w:val="24"/>
                <w:highlight w:val="none"/>
                <w:lang w:val="en-US" w:eastAsia="zh-CN"/>
              </w:rPr>
              <w:t>.运营</w:t>
            </w:r>
            <w:r>
              <w:rPr>
                <w:rFonts w:hint="default" w:ascii="Times New Roman" w:hAnsi="Times New Roman" w:cs="Times New Roman"/>
                <w:b/>
                <w:bCs/>
                <w:color w:val="auto"/>
                <w:kern w:val="0"/>
                <w:sz w:val="24"/>
                <w:highlight w:val="none"/>
                <w:lang w:val="en-US" w:eastAsia="zh-CN"/>
              </w:rPr>
              <w:t>期</w:t>
            </w:r>
            <w:r>
              <w:rPr>
                <w:rFonts w:hint="default" w:ascii="Times New Roman" w:hAnsi="Times New Roman" w:cs="Times New Roman"/>
                <w:b/>
                <w:bCs/>
                <w:color w:val="auto"/>
                <w:kern w:val="0"/>
                <w:sz w:val="24"/>
                <w:highlight w:val="none"/>
              </w:rPr>
              <w:t>生态影响分析</w:t>
            </w:r>
          </w:p>
          <w:p w14:paraId="687B1A42">
            <w:pPr>
              <w:keepNext w:val="0"/>
              <w:keepLines w:val="0"/>
              <w:pageBreakBefore w:val="0"/>
              <w:widowControl w:val="0"/>
              <w:wordWrap/>
              <w:topLinePunct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eastAsia="zh-CN"/>
              </w:rPr>
              <w:t>运营期</w:t>
            </w:r>
            <w:r>
              <w:rPr>
                <w:rFonts w:hint="eastAsia" w:ascii="Times New Roman" w:hAnsi="Times New Roman" w:cs="Times New Roman"/>
                <w:color w:val="auto"/>
                <w:sz w:val="24"/>
                <w:highlight w:val="none"/>
                <w:lang w:val="en-US" w:eastAsia="zh-CN"/>
              </w:rPr>
              <w:t>储能电站</w:t>
            </w:r>
            <w:r>
              <w:rPr>
                <w:rFonts w:hint="default" w:ascii="Times New Roman" w:hAnsi="Times New Roman" w:cs="Times New Roman"/>
                <w:color w:val="auto"/>
                <w:sz w:val="24"/>
                <w:highlight w:val="none"/>
                <w:lang w:eastAsia="zh-CN"/>
              </w:rPr>
              <w:t>占地</w:t>
            </w:r>
            <w:r>
              <w:rPr>
                <w:rFonts w:hint="default" w:ascii="Times New Roman" w:hAnsi="Times New Roman" w:eastAsia="宋体" w:cs="Times New Roman"/>
                <w:color w:val="auto"/>
                <w:sz w:val="24"/>
                <w:szCs w:val="24"/>
                <w:highlight w:val="none"/>
              </w:rPr>
              <w:t>会造成占地范围内的植被</w:t>
            </w:r>
            <w:r>
              <w:rPr>
                <w:rFonts w:hint="default" w:ascii="Times New Roman" w:hAnsi="Times New Roman" w:eastAsia="宋体" w:cs="Times New Roman"/>
                <w:color w:val="auto"/>
                <w:sz w:val="24"/>
                <w:szCs w:val="24"/>
                <w:highlight w:val="none"/>
                <w:lang w:eastAsia="zh-CN"/>
              </w:rPr>
              <w:t>破坏</w:t>
            </w:r>
            <w:r>
              <w:rPr>
                <w:rFonts w:hint="default" w:ascii="Times New Roman" w:hAnsi="Times New Roman" w:eastAsia="宋体" w:cs="Times New Roman"/>
                <w:color w:val="auto"/>
                <w:sz w:val="24"/>
                <w:szCs w:val="24"/>
                <w:highlight w:val="none"/>
              </w:rPr>
              <w:t>，减少植被的覆盖面积，</w:t>
            </w:r>
            <w:r>
              <w:rPr>
                <w:rFonts w:hint="default" w:ascii="Times New Roman" w:hAnsi="Times New Roman" w:eastAsia="宋体" w:cs="Times New Roman"/>
                <w:color w:val="auto"/>
                <w:sz w:val="24"/>
                <w:szCs w:val="24"/>
                <w:highlight w:val="none"/>
                <w:lang w:eastAsia="zh-CN"/>
              </w:rPr>
              <w:t>同时土地利用性质将发生改变，未利用地变为建设用地。后期通过</w:t>
            </w:r>
            <w:r>
              <w:rPr>
                <w:rFonts w:hint="eastAsia" w:ascii="Times New Roman" w:hAnsi="Times New Roman" w:eastAsia="宋体" w:cs="Times New Roman"/>
                <w:color w:val="auto"/>
                <w:sz w:val="24"/>
                <w:szCs w:val="24"/>
                <w:highlight w:val="none"/>
                <w:lang w:val="en-US" w:eastAsia="zh-CN"/>
              </w:rPr>
              <w:t>加强储能站</w:t>
            </w:r>
            <w:r>
              <w:rPr>
                <w:rFonts w:hint="default" w:ascii="Times New Roman" w:hAnsi="Times New Roman" w:eastAsia="宋体" w:cs="Times New Roman"/>
                <w:color w:val="auto"/>
                <w:sz w:val="24"/>
                <w:szCs w:val="24"/>
                <w:highlight w:val="none"/>
                <w:lang w:val="en-US" w:eastAsia="zh-CN"/>
              </w:rPr>
              <w:t>内</w:t>
            </w:r>
            <w:r>
              <w:rPr>
                <w:rFonts w:hint="default" w:ascii="Times New Roman" w:hAnsi="Times New Roman" w:eastAsia="宋体" w:cs="Times New Roman"/>
                <w:color w:val="auto"/>
                <w:sz w:val="24"/>
                <w:szCs w:val="24"/>
                <w:highlight w:val="none"/>
                <w:lang w:eastAsia="zh-CN"/>
              </w:rPr>
              <w:t>绿化，可在一定程度上减少生物量的损失。</w:t>
            </w:r>
          </w:p>
          <w:p w14:paraId="3F545E2D">
            <w:pPr>
              <w:keepNext w:val="0"/>
              <w:keepLines w:val="0"/>
              <w:pageBreakBefore w:val="0"/>
              <w:widowControl w:val="0"/>
              <w:wordWrap/>
              <w:topLinePunct w:val="0"/>
              <w:bidi w:val="0"/>
              <w:adjustRightInd w:val="0"/>
              <w:snapToGrid w:val="0"/>
              <w:spacing w:line="360" w:lineRule="auto"/>
              <w:ind w:firstLine="480" w:firstLineChars="200"/>
              <w:jc w:val="both"/>
              <w:outlineLvl w:val="1"/>
              <w:rPr>
                <w:rFonts w:hint="default" w:ascii="Times New Roman" w:hAnsi="Times New Roman" w:cs="Times New Roman"/>
                <w:color w:val="auto"/>
                <w:sz w:val="24"/>
                <w:szCs w:val="24"/>
                <w:highlight w:val="none"/>
              </w:rPr>
            </w:pPr>
          </w:p>
        </w:tc>
      </w:tr>
      <w:tr w14:paraId="01CC58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2" w:hRule="atLeast"/>
          <w:jc w:val="center"/>
        </w:trPr>
        <w:tc>
          <w:tcPr>
            <w:tcW w:w="256" w:type="pct"/>
            <w:noWrap w:val="0"/>
            <w:vAlign w:val="center"/>
          </w:tcPr>
          <w:p w14:paraId="23826331">
            <w:pPr>
              <w:pStyle w:val="16"/>
              <w:keepNext w:val="0"/>
              <w:keepLines w:val="0"/>
              <w:pageBreakBefore w:val="0"/>
              <w:widowControl w:val="0"/>
              <w:wordWrap/>
              <w:topLinePunct w:val="0"/>
              <w:bidi w:val="0"/>
              <w:adjustRightInd w:val="0"/>
              <w:snapToGrid w:val="0"/>
              <w:spacing w:before="0" w:beforeAutospacing="0" w:after="0" w:afterAutospacing="0"/>
              <w:jc w:val="center"/>
              <w:rPr>
                <w:rFonts w:hint="default" w:ascii="Times New Roman" w:hAnsi="Times New Roman" w:cs="Times New Roman"/>
                <w:bCs/>
                <w:color w:val="auto"/>
                <w:kern w:val="2"/>
                <w:sz w:val="24"/>
                <w:szCs w:val="24"/>
                <w:highlight w:val="none"/>
              </w:rPr>
            </w:pPr>
            <w:r>
              <w:rPr>
                <w:rFonts w:hint="default" w:ascii="Times New Roman" w:hAnsi="Times New Roman" w:cs="Times New Roman"/>
                <w:bCs/>
                <w:color w:val="auto"/>
                <w:kern w:val="2"/>
                <w:sz w:val="24"/>
                <w:szCs w:val="24"/>
                <w:highlight w:val="none"/>
              </w:rPr>
              <w:t>选址选线环境合理性分析</w:t>
            </w:r>
          </w:p>
        </w:tc>
        <w:tc>
          <w:tcPr>
            <w:tcW w:w="4743" w:type="pct"/>
            <w:noWrap w:val="0"/>
            <w:vAlign w:val="top"/>
          </w:tcPr>
          <w:p w14:paraId="260AF0C7">
            <w:pPr>
              <w:pStyle w:val="25"/>
              <w:keepNext w:val="0"/>
              <w:keepLines w:val="0"/>
              <w:pageBreakBefore w:val="0"/>
              <w:widowControl w:val="0"/>
              <w:numPr>
                <w:ilvl w:val="0"/>
                <w:numId w:val="6"/>
              </w:numPr>
              <w:wordWrap/>
              <w:topLinePunct w:val="0"/>
              <w:bidi w:val="0"/>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本项目与《输变电建设项目环境保护技术要求》的选址符合性分析</w:t>
            </w:r>
          </w:p>
          <w:p w14:paraId="6CE4169C">
            <w:pPr>
              <w:pStyle w:val="25"/>
              <w:keepNext w:val="0"/>
              <w:keepLines w:val="0"/>
              <w:pageBreakBefore w:val="0"/>
              <w:widowControl w:val="0"/>
              <w:wordWrap/>
              <w:topLinePunct w:val="0"/>
              <w:bidi w:val="0"/>
              <w:spacing w:line="240" w:lineRule="auto"/>
              <w:ind w:firstLine="1265" w:firstLineChars="600"/>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w:t>
            </w:r>
            <w:r>
              <w:rPr>
                <w:rFonts w:hint="eastAsia" w:ascii="Times New Roman" w:hAnsi="Times New Roman" w:eastAsia="宋体" w:cs="Times New Roman"/>
                <w:b/>
                <w:bCs/>
                <w:color w:val="auto"/>
                <w:kern w:val="2"/>
                <w:sz w:val="21"/>
                <w:szCs w:val="21"/>
                <w:highlight w:val="none"/>
                <w:lang w:val="en-US" w:eastAsia="zh-CN" w:bidi="ar-SA"/>
              </w:rPr>
              <w:t xml:space="preserve">4-5  </w:t>
            </w:r>
            <w:r>
              <w:rPr>
                <w:rFonts w:hint="default" w:ascii="Times New Roman" w:hAnsi="Times New Roman" w:eastAsia="宋体" w:cs="Times New Roman"/>
                <w:b/>
                <w:bCs/>
                <w:color w:val="auto"/>
                <w:kern w:val="2"/>
                <w:sz w:val="21"/>
                <w:szCs w:val="21"/>
                <w:highlight w:val="none"/>
                <w:lang w:val="en-US" w:eastAsia="zh-CN" w:bidi="ar-SA"/>
              </w:rPr>
              <w:t>与《输变电建设项目环境保护技术要求》符合性分析</w:t>
            </w:r>
          </w:p>
          <w:tbl>
            <w:tblPr>
              <w:tblStyle w:val="19"/>
              <w:tblW w:w="49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
              <w:gridCol w:w="4152"/>
              <w:gridCol w:w="2078"/>
              <w:gridCol w:w="922"/>
            </w:tblGrid>
            <w:tr w14:paraId="768C8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332" w:type="pct"/>
                  <w:noWrap w:val="0"/>
                  <w:vAlign w:val="center"/>
                </w:tcPr>
                <w:p w14:paraId="11A03DF5">
                  <w:pPr>
                    <w:pStyle w:val="25"/>
                    <w:keepNext w:val="0"/>
                    <w:keepLines w:val="0"/>
                    <w:pageBreakBefore w:val="0"/>
                    <w:widowControl w:val="0"/>
                    <w:kinsoku/>
                    <w:wordWrap/>
                    <w:overflowPunct/>
                    <w:topLinePunct w:val="0"/>
                    <w:autoSpaceDE/>
                    <w:autoSpaceDN/>
                    <w:bidi w:val="0"/>
                    <w:snapToGrid/>
                    <w:spacing w:line="260" w:lineRule="exac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分类</w:t>
                  </w:r>
                </w:p>
              </w:tc>
              <w:tc>
                <w:tcPr>
                  <w:tcW w:w="2708" w:type="pct"/>
                  <w:noWrap w:val="0"/>
                  <w:vAlign w:val="center"/>
                </w:tcPr>
                <w:p w14:paraId="0F74232E">
                  <w:pPr>
                    <w:pStyle w:val="25"/>
                    <w:keepNext w:val="0"/>
                    <w:keepLines w:val="0"/>
                    <w:pageBreakBefore w:val="0"/>
                    <w:widowControl w:val="0"/>
                    <w:kinsoku/>
                    <w:wordWrap/>
                    <w:overflowPunct/>
                    <w:topLinePunct w:val="0"/>
                    <w:autoSpaceDE/>
                    <w:autoSpaceDN/>
                    <w:bidi w:val="0"/>
                    <w:snapToGrid/>
                    <w:spacing w:line="260" w:lineRule="exac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具体要求</w:t>
                  </w:r>
                </w:p>
              </w:tc>
              <w:tc>
                <w:tcPr>
                  <w:tcW w:w="1355" w:type="pct"/>
                  <w:noWrap w:val="0"/>
                  <w:vAlign w:val="center"/>
                </w:tcPr>
                <w:p w14:paraId="234FDE3A">
                  <w:pPr>
                    <w:pStyle w:val="25"/>
                    <w:keepNext w:val="0"/>
                    <w:keepLines w:val="0"/>
                    <w:pageBreakBefore w:val="0"/>
                    <w:widowControl w:val="0"/>
                    <w:kinsoku/>
                    <w:wordWrap/>
                    <w:overflowPunct/>
                    <w:topLinePunct w:val="0"/>
                    <w:autoSpaceDE/>
                    <w:autoSpaceDN/>
                    <w:bidi w:val="0"/>
                    <w:snapToGrid/>
                    <w:spacing w:line="260" w:lineRule="exact"/>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本项目</w:t>
                  </w:r>
                </w:p>
              </w:tc>
              <w:tc>
                <w:tcPr>
                  <w:tcW w:w="602" w:type="pct"/>
                  <w:noWrap w:val="0"/>
                  <w:vAlign w:val="center"/>
                </w:tcPr>
                <w:p w14:paraId="7DC293A8">
                  <w:pPr>
                    <w:pStyle w:val="25"/>
                    <w:keepNext w:val="0"/>
                    <w:keepLines w:val="0"/>
                    <w:pageBreakBefore w:val="0"/>
                    <w:widowControl w:val="0"/>
                    <w:kinsoku/>
                    <w:wordWrap/>
                    <w:overflowPunct/>
                    <w:topLinePunct w:val="0"/>
                    <w:autoSpaceDE/>
                    <w:autoSpaceDN/>
                    <w:bidi w:val="0"/>
                    <w:snapToGrid/>
                    <w:spacing w:line="260" w:lineRule="exact"/>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符合性</w:t>
                  </w:r>
                </w:p>
              </w:tc>
            </w:tr>
            <w:tr w14:paraId="53BA8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332" w:type="pct"/>
                  <w:vMerge w:val="restart"/>
                  <w:noWrap w:val="0"/>
                  <w:vAlign w:val="center"/>
                </w:tcPr>
                <w:p w14:paraId="2F04E774">
                  <w:pPr>
                    <w:pStyle w:val="25"/>
                    <w:keepNext w:val="0"/>
                    <w:keepLines w:val="0"/>
                    <w:pageBreakBefore w:val="0"/>
                    <w:widowControl w:val="0"/>
                    <w:kinsoku/>
                    <w:wordWrap/>
                    <w:overflowPunct/>
                    <w:topLinePunct w:val="0"/>
                    <w:autoSpaceDE/>
                    <w:autoSpaceDN/>
                    <w:bidi w:val="0"/>
                    <w:snapToGrid/>
                    <w:spacing w:line="260" w:lineRule="exact"/>
                    <w:rPr>
                      <w:rFonts w:hint="default" w:ascii="Times New Roman" w:hAnsi="Times New Roman" w:eastAsia="宋体" w:cs="Times New Roman"/>
                      <w:color w:val="auto"/>
                      <w:kern w:val="2"/>
                      <w:sz w:val="21"/>
                      <w:szCs w:val="21"/>
                      <w:highlight w:val="none"/>
                      <w:vertAlign w:val="baseline"/>
                      <w:lang w:val="en-US" w:eastAsia="zh-CN" w:bidi="ar-SA"/>
                    </w:rPr>
                  </w:pPr>
                </w:p>
                <w:p w14:paraId="4CF63AA6">
                  <w:pPr>
                    <w:pStyle w:val="25"/>
                    <w:keepNext w:val="0"/>
                    <w:keepLines w:val="0"/>
                    <w:pageBreakBefore w:val="0"/>
                    <w:widowControl w:val="0"/>
                    <w:kinsoku/>
                    <w:wordWrap/>
                    <w:overflowPunct/>
                    <w:topLinePunct w:val="0"/>
                    <w:autoSpaceDE/>
                    <w:autoSpaceDN/>
                    <w:bidi w:val="0"/>
                    <w:snapToGrid/>
                    <w:spacing w:line="260" w:lineRule="exact"/>
                    <w:rPr>
                      <w:rFonts w:hint="default" w:ascii="Times New Roman" w:hAnsi="Times New Roman" w:eastAsia="宋体" w:cs="Times New Roman"/>
                      <w:color w:val="auto"/>
                      <w:kern w:val="2"/>
                      <w:sz w:val="21"/>
                      <w:szCs w:val="21"/>
                      <w:highlight w:val="none"/>
                      <w:vertAlign w:val="baseline"/>
                      <w:lang w:val="en-US" w:eastAsia="zh-CN" w:bidi="ar-SA"/>
                    </w:rPr>
                  </w:pPr>
                </w:p>
                <w:p w14:paraId="6618D8B1">
                  <w:pPr>
                    <w:pStyle w:val="25"/>
                    <w:keepNext w:val="0"/>
                    <w:keepLines w:val="0"/>
                    <w:pageBreakBefore w:val="0"/>
                    <w:widowControl w:val="0"/>
                    <w:kinsoku/>
                    <w:wordWrap/>
                    <w:overflowPunct/>
                    <w:topLinePunct w:val="0"/>
                    <w:autoSpaceDE/>
                    <w:autoSpaceDN/>
                    <w:bidi w:val="0"/>
                    <w:snapToGrid/>
                    <w:spacing w:line="260" w:lineRule="exact"/>
                    <w:rPr>
                      <w:rFonts w:hint="default" w:ascii="Times New Roman" w:hAnsi="Times New Roman" w:eastAsia="宋体" w:cs="Times New Roman"/>
                      <w:color w:val="auto"/>
                      <w:kern w:val="2"/>
                      <w:sz w:val="21"/>
                      <w:szCs w:val="21"/>
                      <w:highlight w:val="none"/>
                      <w:vertAlign w:val="baseline"/>
                      <w:lang w:val="en-US" w:eastAsia="zh-CN" w:bidi="ar-SA"/>
                    </w:rPr>
                  </w:pPr>
                </w:p>
                <w:p w14:paraId="71B5A4EC">
                  <w:pPr>
                    <w:pStyle w:val="25"/>
                    <w:keepNext w:val="0"/>
                    <w:keepLines w:val="0"/>
                    <w:pageBreakBefore w:val="0"/>
                    <w:widowControl w:val="0"/>
                    <w:kinsoku/>
                    <w:wordWrap/>
                    <w:overflowPunct/>
                    <w:topLinePunct w:val="0"/>
                    <w:autoSpaceDE/>
                    <w:autoSpaceDN/>
                    <w:bidi w:val="0"/>
                    <w:snapToGrid/>
                    <w:spacing w:line="260" w:lineRule="exact"/>
                    <w:rPr>
                      <w:rFonts w:hint="default" w:ascii="Times New Roman" w:hAnsi="Times New Roman" w:eastAsia="宋体" w:cs="Times New Roman"/>
                      <w:color w:val="auto"/>
                      <w:kern w:val="2"/>
                      <w:sz w:val="21"/>
                      <w:szCs w:val="21"/>
                      <w:highlight w:val="none"/>
                      <w:vertAlign w:val="baseline"/>
                      <w:lang w:val="en-US" w:eastAsia="zh-CN" w:bidi="ar-SA"/>
                    </w:rPr>
                  </w:pPr>
                </w:p>
                <w:p w14:paraId="77B35288">
                  <w:pPr>
                    <w:pStyle w:val="25"/>
                    <w:keepNext w:val="0"/>
                    <w:keepLines w:val="0"/>
                    <w:pageBreakBefore w:val="0"/>
                    <w:widowControl w:val="0"/>
                    <w:kinsoku/>
                    <w:wordWrap/>
                    <w:overflowPunct/>
                    <w:topLinePunct w:val="0"/>
                    <w:autoSpaceDE/>
                    <w:autoSpaceDN/>
                    <w:bidi w:val="0"/>
                    <w:snapToGrid/>
                    <w:spacing w:line="260" w:lineRule="exact"/>
                    <w:rPr>
                      <w:rFonts w:hint="default" w:ascii="Times New Roman" w:hAnsi="Times New Roman" w:eastAsia="宋体" w:cs="Times New Roman"/>
                      <w:color w:val="auto"/>
                      <w:kern w:val="2"/>
                      <w:sz w:val="21"/>
                      <w:szCs w:val="21"/>
                      <w:highlight w:val="none"/>
                      <w:vertAlign w:val="baseline"/>
                      <w:lang w:val="en-US" w:eastAsia="zh-CN" w:bidi="ar-SA"/>
                    </w:rPr>
                  </w:pPr>
                </w:p>
                <w:p w14:paraId="5FF89564">
                  <w:pPr>
                    <w:pStyle w:val="25"/>
                    <w:keepNext w:val="0"/>
                    <w:keepLines w:val="0"/>
                    <w:pageBreakBefore w:val="0"/>
                    <w:widowControl w:val="0"/>
                    <w:kinsoku/>
                    <w:wordWrap/>
                    <w:overflowPunct/>
                    <w:topLinePunct w:val="0"/>
                    <w:autoSpaceDE/>
                    <w:autoSpaceDN/>
                    <w:bidi w:val="0"/>
                    <w:snapToGrid/>
                    <w:spacing w:line="260" w:lineRule="exact"/>
                    <w:rPr>
                      <w:rFonts w:hint="default" w:ascii="Times New Roman" w:hAnsi="Times New Roman" w:eastAsia="宋体" w:cs="Times New Roman"/>
                      <w:color w:val="auto"/>
                      <w:kern w:val="2"/>
                      <w:sz w:val="21"/>
                      <w:szCs w:val="21"/>
                      <w:highlight w:val="none"/>
                      <w:vertAlign w:val="baseline"/>
                      <w:lang w:val="en-US" w:eastAsia="zh-CN" w:bidi="ar-SA"/>
                    </w:rPr>
                  </w:pPr>
                </w:p>
                <w:p w14:paraId="1C6958D0">
                  <w:pPr>
                    <w:pStyle w:val="25"/>
                    <w:keepNext w:val="0"/>
                    <w:keepLines w:val="0"/>
                    <w:pageBreakBefore w:val="0"/>
                    <w:widowControl w:val="0"/>
                    <w:kinsoku/>
                    <w:wordWrap/>
                    <w:overflowPunct/>
                    <w:topLinePunct w:val="0"/>
                    <w:autoSpaceDE/>
                    <w:autoSpaceDN/>
                    <w:bidi w:val="0"/>
                    <w:snapToGrid/>
                    <w:spacing w:line="260" w:lineRule="exact"/>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选址选线</w:t>
                  </w:r>
                </w:p>
              </w:tc>
              <w:tc>
                <w:tcPr>
                  <w:tcW w:w="2708" w:type="pct"/>
                  <w:noWrap w:val="0"/>
                  <w:vAlign w:val="center"/>
                </w:tcPr>
                <w:p w14:paraId="47ED97A2">
                  <w:pPr>
                    <w:keepNext w:val="0"/>
                    <w:keepLines w:val="0"/>
                    <w:pageBreakBefore w:val="0"/>
                    <w:widowControl w:val="0"/>
                    <w:suppressLineNumbers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
                    </w:rPr>
                    <w:t>工程选址选线应符合规划环境影响评价文件的要求。</w:t>
                  </w:r>
                </w:p>
              </w:tc>
              <w:tc>
                <w:tcPr>
                  <w:tcW w:w="1355" w:type="pct"/>
                  <w:noWrap w:val="0"/>
                  <w:vAlign w:val="center"/>
                </w:tcPr>
                <w:p w14:paraId="5286E80A">
                  <w:pPr>
                    <w:pStyle w:val="25"/>
                    <w:keepNext w:val="0"/>
                    <w:keepLines w:val="0"/>
                    <w:pageBreakBefore w:val="0"/>
                    <w:widowControl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本项目选址符合当地规划</w:t>
                  </w:r>
                </w:p>
              </w:tc>
              <w:tc>
                <w:tcPr>
                  <w:tcW w:w="602" w:type="pct"/>
                  <w:noWrap w:val="0"/>
                  <w:vAlign w:val="center"/>
                </w:tcPr>
                <w:p w14:paraId="10EA2F69">
                  <w:pPr>
                    <w:pStyle w:val="25"/>
                    <w:keepNext w:val="0"/>
                    <w:keepLines w:val="0"/>
                    <w:pageBreakBefore w:val="0"/>
                    <w:widowControl w:val="0"/>
                    <w:kinsoku/>
                    <w:wordWrap/>
                    <w:overflowPunct/>
                    <w:topLinePunct w:val="0"/>
                    <w:autoSpaceDE/>
                    <w:autoSpaceDN/>
                    <w:bidi w:val="0"/>
                    <w:snapToGrid/>
                    <w:spacing w:line="260" w:lineRule="exac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符合</w:t>
                  </w:r>
                </w:p>
              </w:tc>
            </w:tr>
            <w:tr w14:paraId="72E9C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332" w:type="pct"/>
                  <w:vMerge w:val="continue"/>
                  <w:noWrap w:val="0"/>
                  <w:vAlign w:val="center"/>
                </w:tcPr>
                <w:p w14:paraId="5A8D0AB1">
                  <w:pPr>
                    <w:pStyle w:val="25"/>
                    <w:keepNext w:val="0"/>
                    <w:keepLines w:val="0"/>
                    <w:pageBreakBefore w:val="0"/>
                    <w:widowControl w:val="0"/>
                    <w:kinsoku/>
                    <w:wordWrap/>
                    <w:overflowPunct/>
                    <w:topLinePunct w:val="0"/>
                    <w:autoSpaceDE/>
                    <w:autoSpaceDN/>
                    <w:bidi w:val="0"/>
                    <w:snapToGrid/>
                    <w:spacing w:line="260" w:lineRule="exact"/>
                    <w:rPr>
                      <w:rFonts w:hint="default" w:ascii="Times New Roman" w:hAnsi="Times New Roman" w:eastAsia="宋体" w:cs="Times New Roman"/>
                      <w:color w:val="auto"/>
                      <w:kern w:val="2"/>
                      <w:sz w:val="21"/>
                      <w:szCs w:val="21"/>
                      <w:highlight w:val="none"/>
                      <w:vertAlign w:val="baseline"/>
                      <w:lang w:val="en-US" w:eastAsia="zh-CN" w:bidi="ar-SA"/>
                    </w:rPr>
                  </w:pPr>
                </w:p>
              </w:tc>
              <w:tc>
                <w:tcPr>
                  <w:tcW w:w="2708" w:type="pct"/>
                  <w:noWrap w:val="0"/>
                  <w:vAlign w:val="center"/>
                </w:tcPr>
                <w:p w14:paraId="0D000F02">
                  <w:pPr>
                    <w:keepNext w:val="0"/>
                    <w:keepLines w:val="0"/>
                    <w:pageBreakBefore w:val="0"/>
                    <w:widowControl w:val="0"/>
                    <w:suppressLineNumbers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
                    </w:rPr>
                    <w:t>输变电建设项目选址选线应符合生态保护红线管控要求，避让自然保护区、饮用水水源保护区等环境敏感区。</w:t>
                  </w:r>
                </w:p>
              </w:tc>
              <w:tc>
                <w:tcPr>
                  <w:tcW w:w="1355" w:type="pct"/>
                  <w:noWrap w:val="0"/>
                  <w:vAlign w:val="center"/>
                </w:tcPr>
                <w:p w14:paraId="268757F7">
                  <w:pPr>
                    <w:pStyle w:val="25"/>
                    <w:keepNext w:val="0"/>
                    <w:keepLines w:val="0"/>
                    <w:pageBreakBefore w:val="0"/>
                    <w:widowControl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本项目位于</w:t>
                  </w:r>
                  <w:r>
                    <w:rPr>
                      <w:rFonts w:hint="eastAsia" w:ascii="Times New Roman" w:hAnsi="Times New Roman" w:eastAsia="宋体" w:cs="Times New Roman"/>
                      <w:color w:val="auto"/>
                      <w:kern w:val="2"/>
                      <w:sz w:val="21"/>
                      <w:szCs w:val="21"/>
                      <w:highlight w:val="none"/>
                      <w:vertAlign w:val="baseline"/>
                      <w:lang w:val="en-US" w:eastAsia="zh-CN" w:bidi="ar-SA"/>
                    </w:rPr>
                    <w:t>重点管控单元</w:t>
                  </w:r>
                  <w:r>
                    <w:rPr>
                      <w:rFonts w:hint="default" w:ascii="Times New Roman" w:hAnsi="Times New Roman" w:eastAsia="宋体" w:cs="Times New Roman"/>
                      <w:color w:val="auto"/>
                      <w:kern w:val="2"/>
                      <w:sz w:val="21"/>
                      <w:szCs w:val="21"/>
                      <w:highlight w:val="none"/>
                      <w:vertAlign w:val="baseline"/>
                      <w:lang w:val="en-US" w:eastAsia="zh-CN" w:bidi="ar-SA"/>
                    </w:rPr>
                    <w:t>，不在生态保护红线管控区内，不涉及自然保护区、饮用水水源保护区等环境敏感区</w:t>
                  </w:r>
                </w:p>
              </w:tc>
              <w:tc>
                <w:tcPr>
                  <w:tcW w:w="602" w:type="pct"/>
                  <w:noWrap w:val="0"/>
                  <w:vAlign w:val="center"/>
                </w:tcPr>
                <w:p w14:paraId="2D9F9504">
                  <w:pPr>
                    <w:pStyle w:val="25"/>
                    <w:keepNext w:val="0"/>
                    <w:keepLines w:val="0"/>
                    <w:pageBreakBefore w:val="0"/>
                    <w:widowControl w:val="0"/>
                    <w:kinsoku/>
                    <w:wordWrap/>
                    <w:overflowPunct/>
                    <w:topLinePunct w:val="0"/>
                    <w:autoSpaceDE/>
                    <w:autoSpaceDN/>
                    <w:bidi w:val="0"/>
                    <w:snapToGrid/>
                    <w:spacing w:line="260" w:lineRule="exac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符合</w:t>
                  </w:r>
                </w:p>
              </w:tc>
            </w:tr>
            <w:tr w14:paraId="0AC8A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3" w:hRule="atLeast"/>
                <w:jc w:val="center"/>
              </w:trPr>
              <w:tc>
                <w:tcPr>
                  <w:tcW w:w="332" w:type="pct"/>
                  <w:vMerge w:val="continue"/>
                  <w:noWrap w:val="0"/>
                  <w:vAlign w:val="center"/>
                </w:tcPr>
                <w:p w14:paraId="46C2BCBF">
                  <w:pPr>
                    <w:pStyle w:val="25"/>
                    <w:keepNext w:val="0"/>
                    <w:keepLines w:val="0"/>
                    <w:pageBreakBefore w:val="0"/>
                    <w:widowControl w:val="0"/>
                    <w:kinsoku/>
                    <w:wordWrap/>
                    <w:overflowPunct/>
                    <w:topLinePunct w:val="0"/>
                    <w:autoSpaceDE/>
                    <w:autoSpaceDN/>
                    <w:bidi w:val="0"/>
                    <w:snapToGrid/>
                    <w:spacing w:line="260" w:lineRule="exact"/>
                    <w:rPr>
                      <w:rFonts w:hint="default" w:ascii="Times New Roman" w:hAnsi="Times New Roman" w:eastAsia="宋体" w:cs="Times New Roman"/>
                      <w:color w:val="auto"/>
                      <w:kern w:val="2"/>
                      <w:sz w:val="21"/>
                      <w:szCs w:val="21"/>
                      <w:highlight w:val="none"/>
                      <w:vertAlign w:val="baseline"/>
                      <w:lang w:val="en-US" w:eastAsia="zh-CN" w:bidi="ar-SA"/>
                    </w:rPr>
                  </w:pPr>
                </w:p>
              </w:tc>
              <w:tc>
                <w:tcPr>
                  <w:tcW w:w="2708" w:type="pct"/>
                  <w:noWrap w:val="0"/>
                  <w:vAlign w:val="center"/>
                </w:tcPr>
                <w:p w14:paraId="6692FEBA">
                  <w:pPr>
                    <w:keepNext w:val="0"/>
                    <w:keepLines w:val="0"/>
                    <w:pageBreakBefore w:val="0"/>
                    <w:widowControl w:val="0"/>
                    <w:suppressLineNumbers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pacing w:val="-6"/>
                      <w:kern w:val="0"/>
                      <w:sz w:val="21"/>
                      <w:szCs w:val="21"/>
                      <w:highlight w:val="none"/>
                      <w:lang w:val="en-US" w:eastAsia="zh-CN" w:bidi="ar"/>
                    </w:rPr>
                    <w:t>变电工程在选址时应按终期规模综合考虑进出线走廊规划，避免进出线进入自然保护区、饮用水水源保护区等环境敏感区。进入自然保护区的输电线路，应按照HJ19的要求开展生态现状调查，避让保护对象的集中分布区。</w:t>
                  </w:r>
                </w:p>
              </w:tc>
              <w:tc>
                <w:tcPr>
                  <w:tcW w:w="1355" w:type="pct"/>
                  <w:noWrap w:val="0"/>
                  <w:vAlign w:val="center"/>
                </w:tcPr>
                <w:p w14:paraId="750A3CEE">
                  <w:pPr>
                    <w:pStyle w:val="25"/>
                    <w:keepNext w:val="0"/>
                    <w:keepLines w:val="0"/>
                    <w:pageBreakBefore w:val="0"/>
                    <w:widowControl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本项目</w:t>
                  </w:r>
                  <w:r>
                    <w:rPr>
                      <w:rFonts w:hint="eastAsia" w:ascii="Times New Roman" w:hAnsi="Times New Roman" w:eastAsia="宋体" w:cs="Times New Roman"/>
                      <w:color w:val="auto"/>
                      <w:kern w:val="2"/>
                      <w:sz w:val="21"/>
                      <w:szCs w:val="21"/>
                      <w:highlight w:val="none"/>
                      <w:vertAlign w:val="baseline"/>
                      <w:lang w:val="en-US" w:eastAsia="zh-CN" w:bidi="ar-SA"/>
                    </w:rPr>
                    <w:t>升压站周边</w:t>
                  </w:r>
                  <w:r>
                    <w:rPr>
                      <w:rFonts w:hint="default" w:ascii="Times New Roman" w:hAnsi="Times New Roman" w:eastAsia="宋体" w:cs="Times New Roman"/>
                      <w:color w:val="auto"/>
                      <w:kern w:val="2"/>
                      <w:sz w:val="21"/>
                      <w:szCs w:val="21"/>
                      <w:highlight w:val="none"/>
                      <w:vertAlign w:val="baseline"/>
                      <w:lang w:val="en-US" w:eastAsia="zh-CN" w:bidi="ar-SA"/>
                    </w:rPr>
                    <w:t>不涉及自然保护区、饮用水水源保护区等环境敏感区</w:t>
                  </w:r>
                </w:p>
              </w:tc>
              <w:tc>
                <w:tcPr>
                  <w:tcW w:w="602" w:type="pct"/>
                  <w:noWrap w:val="0"/>
                  <w:vAlign w:val="center"/>
                </w:tcPr>
                <w:p w14:paraId="263520CC">
                  <w:pPr>
                    <w:pStyle w:val="25"/>
                    <w:keepNext w:val="0"/>
                    <w:keepLines w:val="0"/>
                    <w:pageBreakBefore w:val="0"/>
                    <w:widowControl w:val="0"/>
                    <w:kinsoku/>
                    <w:wordWrap/>
                    <w:overflowPunct/>
                    <w:topLinePunct w:val="0"/>
                    <w:autoSpaceDE/>
                    <w:autoSpaceDN/>
                    <w:bidi w:val="0"/>
                    <w:snapToGrid/>
                    <w:spacing w:line="260" w:lineRule="exac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符合</w:t>
                  </w:r>
                </w:p>
              </w:tc>
            </w:tr>
            <w:tr w14:paraId="49A0B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332" w:type="pct"/>
                  <w:vMerge w:val="continue"/>
                  <w:noWrap w:val="0"/>
                  <w:vAlign w:val="center"/>
                </w:tcPr>
                <w:p w14:paraId="466B55A6">
                  <w:pPr>
                    <w:pStyle w:val="25"/>
                    <w:keepNext w:val="0"/>
                    <w:keepLines w:val="0"/>
                    <w:pageBreakBefore w:val="0"/>
                    <w:widowControl w:val="0"/>
                    <w:kinsoku/>
                    <w:wordWrap/>
                    <w:overflowPunct/>
                    <w:topLinePunct w:val="0"/>
                    <w:autoSpaceDE/>
                    <w:autoSpaceDN/>
                    <w:bidi w:val="0"/>
                    <w:snapToGrid/>
                    <w:spacing w:line="260" w:lineRule="exact"/>
                    <w:rPr>
                      <w:rFonts w:hint="default" w:ascii="Times New Roman" w:hAnsi="Times New Roman" w:eastAsia="宋体" w:cs="Times New Roman"/>
                      <w:color w:val="auto"/>
                      <w:kern w:val="2"/>
                      <w:sz w:val="21"/>
                      <w:szCs w:val="21"/>
                      <w:highlight w:val="none"/>
                      <w:vertAlign w:val="baseline"/>
                      <w:lang w:val="en-US" w:eastAsia="zh-CN" w:bidi="ar-SA"/>
                    </w:rPr>
                  </w:pPr>
                </w:p>
              </w:tc>
              <w:tc>
                <w:tcPr>
                  <w:tcW w:w="2708" w:type="pct"/>
                  <w:noWrap w:val="0"/>
                  <w:vAlign w:val="center"/>
                </w:tcPr>
                <w:p w14:paraId="35504244">
                  <w:pPr>
                    <w:keepNext w:val="0"/>
                    <w:keepLines w:val="0"/>
                    <w:pageBreakBefore w:val="0"/>
                    <w:widowControl w:val="0"/>
                    <w:suppressLineNumbers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
                    </w:rPr>
                    <w:t>户外变电工程及规划架空进出线选址选线时，应关注以居住、医疗卫生、文化教育、科研、行政办公等为主要功能的区域，采取综合措施，减少电磁和声环境影响。</w:t>
                  </w:r>
                </w:p>
              </w:tc>
              <w:tc>
                <w:tcPr>
                  <w:tcW w:w="1355" w:type="pct"/>
                  <w:noWrap w:val="0"/>
                  <w:vAlign w:val="center"/>
                </w:tcPr>
                <w:p w14:paraId="40A56727">
                  <w:pPr>
                    <w:pStyle w:val="25"/>
                    <w:keepNext w:val="0"/>
                    <w:keepLines w:val="0"/>
                    <w:pageBreakBefore w:val="0"/>
                    <w:widowControl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本项目</w:t>
                  </w:r>
                  <w:r>
                    <w:rPr>
                      <w:rFonts w:hint="eastAsia" w:ascii="Times New Roman" w:hAnsi="Times New Roman" w:eastAsia="宋体" w:cs="Times New Roman"/>
                      <w:color w:val="auto"/>
                      <w:kern w:val="2"/>
                      <w:sz w:val="21"/>
                      <w:szCs w:val="21"/>
                      <w:highlight w:val="none"/>
                      <w:vertAlign w:val="baseline"/>
                      <w:lang w:val="en-US" w:eastAsia="zh-CN" w:bidi="ar-SA"/>
                    </w:rPr>
                    <w:t>升压站周边</w:t>
                  </w:r>
                  <w:r>
                    <w:rPr>
                      <w:rFonts w:hint="default" w:ascii="Times New Roman" w:hAnsi="Times New Roman" w:eastAsia="宋体" w:cs="Times New Roman"/>
                      <w:color w:val="auto"/>
                      <w:kern w:val="2"/>
                      <w:sz w:val="21"/>
                      <w:szCs w:val="21"/>
                      <w:highlight w:val="none"/>
                      <w:vertAlign w:val="baseline"/>
                      <w:lang w:val="en-US" w:eastAsia="zh-CN" w:bidi="ar-SA"/>
                    </w:rPr>
                    <w:t>不涉及居住、医疗卫生、文化教育、科研、行政办公等功能区域</w:t>
                  </w:r>
                </w:p>
              </w:tc>
              <w:tc>
                <w:tcPr>
                  <w:tcW w:w="602" w:type="pct"/>
                  <w:noWrap w:val="0"/>
                  <w:vAlign w:val="center"/>
                </w:tcPr>
                <w:p w14:paraId="442E417D">
                  <w:pPr>
                    <w:pStyle w:val="25"/>
                    <w:keepNext w:val="0"/>
                    <w:keepLines w:val="0"/>
                    <w:pageBreakBefore w:val="0"/>
                    <w:widowControl w:val="0"/>
                    <w:kinsoku/>
                    <w:wordWrap/>
                    <w:overflowPunct/>
                    <w:topLinePunct w:val="0"/>
                    <w:autoSpaceDE/>
                    <w:autoSpaceDN/>
                    <w:bidi w:val="0"/>
                    <w:snapToGrid/>
                    <w:spacing w:line="260" w:lineRule="exac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符合</w:t>
                  </w:r>
                </w:p>
              </w:tc>
            </w:tr>
            <w:tr w14:paraId="18BE6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32" w:type="pct"/>
                  <w:vMerge w:val="continue"/>
                  <w:noWrap w:val="0"/>
                  <w:vAlign w:val="center"/>
                </w:tcPr>
                <w:p w14:paraId="243E16E8">
                  <w:pPr>
                    <w:pStyle w:val="25"/>
                    <w:keepNext w:val="0"/>
                    <w:keepLines w:val="0"/>
                    <w:pageBreakBefore w:val="0"/>
                    <w:widowControl w:val="0"/>
                    <w:kinsoku/>
                    <w:wordWrap/>
                    <w:overflowPunct/>
                    <w:topLinePunct w:val="0"/>
                    <w:autoSpaceDE/>
                    <w:autoSpaceDN/>
                    <w:bidi w:val="0"/>
                    <w:snapToGrid/>
                    <w:spacing w:line="260" w:lineRule="exact"/>
                    <w:rPr>
                      <w:rFonts w:hint="default" w:ascii="Times New Roman" w:hAnsi="Times New Roman" w:eastAsia="宋体" w:cs="Times New Roman"/>
                      <w:color w:val="auto"/>
                      <w:kern w:val="2"/>
                      <w:sz w:val="21"/>
                      <w:szCs w:val="21"/>
                      <w:highlight w:val="none"/>
                      <w:vertAlign w:val="baseline"/>
                      <w:lang w:val="en-US" w:eastAsia="zh-CN" w:bidi="ar-SA"/>
                    </w:rPr>
                  </w:pPr>
                </w:p>
              </w:tc>
              <w:tc>
                <w:tcPr>
                  <w:tcW w:w="2708" w:type="pct"/>
                  <w:noWrap w:val="0"/>
                  <w:vAlign w:val="center"/>
                </w:tcPr>
                <w:p w14:paraId="2C04F70E">
                  <w:pPr>
                    <w:keepNext w:val="0"/>
                    <w:keepLines w:val="0"/>
                    <w:pageBreakBefore w:val="0"/>
                    <w:widowControl w:val="0"/>
                    <w:suppressLineNumbers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
                    </w:rPr>
                    <w:t>原则上避免在0类声环境功能区建设变电工程。</w:t>
                  </w:r>
                </w:p>
              </w:tc>
              <w:tc>
                <w:tcPr>
                  <w:tcW w:w="1355" w:type="pct"/>
                  <w:noWrap w:val="0"/>
                  <w:vAlign w:val="center"/>
                </w:tcPr>
                <w:p w14:paraId="47E32F46">
                  <w:pPr>
                    <w:pStyle w:val="25"/>
                    <w:keepNext w:val="0"/>
                    <w:keepLines w:val="0"/>
                    <w:pageBreakBefore w:val="0"/>
                    <w:widowControl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本项目</w:t>
                  </w:r>
                  <w:r>
                    <w:rPr>
                      <w:rFonts w:hint="eastAsia" w:ascii="Times New Roman" w:hAnsi="Times New Roman" w:eastAsia="宋体" w:cs="Times New Roman"/>
                      <w:color w:val="auto"/>
                      <w:kern w:val="2"/>
                      <w:sz w:val="21"/>
                      <w:szCs w:val="21"/>
                      <w:highlight w:val="none"/>
                      <w:vertAlign w:val="baseline"/>
                      <w:lang w:val="en-US" w:eastAsia="zh-CN" w:bidi="ar-SA"/>
                    </w:rPr>
                    <w:t>升压站</w:t>
                  </w:r>
                  <w:r>
                    <w:rPr>
                      <w:rFonts w:hint="default" w:ascii="Times New Roman" w:hAnsi="Times New Roman" w:eastAsia="宋体" w:cs="Times New Roman"/>
                      <w:color w:val="auto"/>
                      <w:kern w:val="2"/>
                      <w:sz w:val="21"/>
                      <w:szCs w:val="21"/>
                      <w:highlight w:val="none"/>
                      <w:vertAlign w:val="baseline"/>
                      <w:lang w:val="en-US" w:eastAsia="zh-CN" w:bidi="ar-SA"/>
                    </w:rPr>
                    <w:t>为</w:t>
                  </w:r>
                  <w:r>
                    <w:rPr>
                      <w:rFonts w:hint="eastAsia" w:ascii="Times New Roman" w:hAnsi="Times New Roman" w:eastAsia="宋体" w:cs="Times New Roman"/>
                      <w:color w:val="auto"/>
                      <w:kern w:val="2"/>
                      <w:sz w:val="21"/>
                      <w:szCs w:val="21"/>
                      <w:highlight w:val="none"/>
                      <w:vertAlign w:val="baseline"/>
                      <w:lang w:val="en-US" w:eastAsia="zh-CN" w:bidi="ar-SA"/>
                    </w:rPr>
                    <w:t>3</w:t>
                  </w:r>
                  <w:r>
                    <w:rPr>
                      <w:rFonts w:hint="default" w:ascii="Times New Roman" w:hAnsi="Times New Roman" w:eastAsia="宋体" w:cs="Times New Roman"/>
                      <w:color w:val="auto"/>
                      <w:kern w:val="2"/>
                      <w:sz w:val="21"/>
                      <w:szCs w:val="21"/>
                      <w:highlight w:val="none"/>
                      <w:vertAlign w:val="baseline"/>
                      <w:lang w:val="en-US" w:eastAsia="zh-CN" w:bidi="ar-SA"/>
                    </w:rPr>
                    <w:t>类声环境功能区域</w:t>
                  </w:r>
                </w:p>
              </w:tc>
              <w:tc>
                <w:tcPr>
                  <w:tcW w:w="602" w:type="pct"/>
                  <w:noWrap w:val="0"/>
                  <w:vAlign w:val="center"/>
                </w:tcPr>
                <w:p w14:paraId="4F46A5F5">
                  <w:pPr>
                    <w:pStyle w:val="25"/>
                    <w:keepNext w:val="0"/>
                    <w:keepLines w:val="0"/>
                    <w:pageBreakBefore w:val="0"/>
                    <w:widowControl w:val="0"/>
                    <w:kinsoku/>
                    <w:wordWrap/>
                    <w:overflowPunct/>
                    <w:topLinePunct w:val="0"/>
                    <w:autoSpaceDE/>
                    <w:autoSpaceDN/>
                    <w:bidi w:val="0"/>
                    <w:snapToGrid/>
                    <w:spacing w:line="26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6D8ED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32" w:type="pct"/>
                  <w:vMerge w:val="continue"/>
                  <w:noWrap w:val="0"/>
                  <w:vAlign w:val="center"/>
                </w:tcPr>
                <w:p w14:paraId="4B6F4E97">
                  <w:pPr>
                    <w:pStyle w:val="25"/>
                    <w:keepNext w:val="0"/>
                    <w:keepLines w:val="0"/>
                    <w:pageBreakBefore w:val="0"/>
                    <w:widowControl w:val="0"/>
                    <w:kinsoku/>
                    <w:wordWrap/>
                    <w:overflowPunct/>
                    <w:topLinePunct w:val="0"/>
                    <w:autoSpaceDE/>
                    <w:autoSpaceDN/>
                    <w:bidi w:val="0"/>
                    <w:snapToGrid/>
                    <w:spacing w:line="260" w:lineRule="exact"/>
                    <w:rPr>
                      <w:rFonts w:hint="default" w:ascii="Times New Roman" w:hAnsi="Times New Roman" w:eastAsia="宋体" w:cs="Times New Roman"/>
                      <w:color w:val="auto"/>
                      <w:kern w:val="2"/>
                      <w:sz w:val="21"/>
                      <w:szCs w:val="21"/>
                      <w:highlight w:val="none"/>
                      <w:vertAlign w:val="baseline"/>
                      <w:lang w:val="en-US" w:eastAsia="zh-CN" w:bidi="ar-SA"/>
                    </w:rPr>
                  </w:pPr>
                </w:p>
              </w:tc>
              <w:tc>
                <w:tcPr>
                  <w:tcW w:w="2708" w:type="pct"/>
                  <w:noWrap w:val="0"/>
                  <w:vAlign w:val="center"/>
                </w:tcPr>
                <w:p w14:paraId="44ED506E">
                  <w:pPr>
                    <w:keepNext w:val="0"/>
                    <w:keepLines w:val="0"/>
                    <w:pageBreakBefore w:val="0"/>
                    <w:widowControl w:val="0"/>
                    <w:suppressLineNumbers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变电工程选址时，应综合考虑减少土地占用、植被砍伐和弃土弃渣等，以减少对生态环境的不利影响。</w:t>
                  </w:r>
                </w:p>
              </w:tc>
              <w:tc>
                <w:tcPr>
                  <w:tcW w:w="1355" w:type="pct"/>
                  <w:noWrap w:val="0"/>
                  <w:vAlign w:val="center"/>
                </w:tcPr>
                <w:p w14:paraId="1D3E6E0D">
                  <w:pPr>
                    <w:pStyle w:val="25"/>
                    <w:keepNext w:val="0"/>
                    <w:keepLines w:val="0"/>
                    <w:pageBreakBefore w:val="0"/>
                    <w:widowControl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本项目选址</w:t>
                  </w:r>
                  <w:r>
                    <w:rPr>
                      <w:rFonts w:hint="default" w:ascii="Times New Roman" w:hAnsi="Times New Roman" w:eastAsia="宋体" w:cs="Times New Roman"/>
                      <w:color w:val="auto"/>
                      <w:kern w:val="2"/>
                      <w:sz w:val="21"/>
                      <w:szCs w:val="21"/>
                      <w:highlight w:val="none"/>
                      <w:vertAlign w:val="baseline"/>
                      <w:lang w:val="en-US" w:eastAsia="zh-CN" w:bidi="ar-SA"/>
                    </w:rPr>
                    <w:t>时</w:t>
                  </w:r>
                  <w:r>
                    <w:rPr>
                      <w:rFonts w:hint="eastAsia" w:ascii="Times New Roman" w:hAnsi="Times New Roman" w:eastAsia="宋体" w:cs="Times New Roman"/>
                      <w:color w:val="auto"/>
                      <w:kern w:val="2"/>
                      <w:sz w:val="21"/>
                      <w:szCs w:val="21"/>
                      <w:highlight w:val="none"/>
                      <w:vertAlign w:val="baseline"/>
                      <w:lang w:val="en-US" w:eastAsia="zh-CN" w:bidi="ar-SA"/>
                    </w:rPr>
                    <w:t>已</w:t>
                  </w:r>
                  <w:r>
                    <w:rPr>
                      <w:rFonts w:hint="default" w:ascii="Times New Roman" w:hAnsi="Times New Roman" w:eastAsia="宋体" w:cs="Times New Roman"/>
                      <w:color w:val="auto"/>
                      <w:kern w:val="2"/>
                      <w:sz w:val="21"/>
                      <w:szCs w:val="21"/>
                      <w:highlight w:val="none"/>
                      <w:vertAlign w:val="baseline"/>
                      <w:lang w:val="en-US" w:eastAsia="zh-CN" w:bidi="ar-SA"/>
                    </w:rPr>
                    <w:t>尽可能减少占地及对植被的影响</w:t>
                  </w:r>
                </w:p>
              </w:tc>
              <w:tc>
                <w:tcPr>
                  <w:tcW w:w="602" w:type="pct"/>
                  <w:noWrap w:val="0"/>
                  <w:vAlign w:val="center"/>
                </w:tcPr>
                <w:p w14:paraId="2E00D596">
                  <w:pPr>
                    <w:pStyle w:val="25"/>
                    <w:keepNext w:val="0"/>
                    <w:keepLines w:val="0"/>
                    <w:pageBreakBefore w:val="0"/>
                    <w:widowControl w:val="0"/>
                    <w:kinsoku/>
                    <w:wordWrap/>
                    <w:overflowPunct/>
                    <w:topLinePunct w:val="0"/>
                    <w:autoSpaceDE/>
                    <w:autoSpaceDN/>
                    <w:bidi w:val="0"/>
                    <w:snapToGrid/>
                    <w:spacing w:line="26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5E4E0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332" w:type="pct"/>
                  <w:vMerge w:val="continue"/>
                  <w:noWrap w:val="0"/>
                  <w:vAlign w:val="center"/>
                </w:tcPr>
                <w:p w14:paraId="0E9B057D">
                  <w:pPr>
                    <w:pStyle w:val="25"/>
                    <w:keepNext w:val="0"/>
                    <w:keepLines w:val="0"/>
                    <w:pageBreakBefore w:val="0"/>
                    <w:widowControl w:val="0"/>
                    <w:kinsoku/>
                    <w:wordWrap/>
                    <w:overflowPunct/>
                    <w:topLinePunct w:val="0"/>
                    <w:autoSpaceDE/>
                    <w:autoSpaceDN/>
                    <w:bidi w:val="0"/>
                    <w:snapToGrid/>
                    <w:spacing w:line="260" w:lineRule="exact"/>
                    <w:rPr>
                      <w:rFonts w:hint="default" w:ascii="Times New Roman" w:hAnsi="Times New Roman" w:eastAsia="宋体" w:cs="Times New Roman"/>
                      <w:color w:val="auto"/>
                      <w:kern w:val="2"/>
                      <w:sz w:val="21"/>
                      <w:szCs w:val="21"/>
                      <w:highlight w:val="none"/>
                      <w:vertAlign w:val="baseline"/>
                      <w:lang w:val="en-US" w:eastAsia="zh-CN" w:bidi="ar-SA"/>
                    </w:rPr>
                  </w:pPr>
                </w:p>
              </w:tc>
              <w:tc>
                <w:tcPr>
                  <w:tcW w:w="2708" w:type="pct"/>
                  <w:noWrap w:val="0"/>
                  <w:vAlign w:val="center"/>
                </w:tcPr>
                <w:p w14:paraId="5EC53E25">
                  <w:pPr>
                    <w:keepNext w:val="0"/>
                    <w:keepLines w:val="0"/>
                    <w:pageBreakBefore w:val="0"/>
                    <w:widowControl w:val="0"/>
                    <w:suppressLineNumbers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
                    </w:rPr>
                    <w:t>输电线路宜避让集中林区，以减少林木砍伐，保护生态环境。</w:t>
                  </w:r>
                </w:p>
              </w:tc>
              <w:tc>
                <w:tcPr>
                  <w:tcW w:w="1355" w:type="pct"/>
                  <w:noWrap w:val="0"/>
                  <w:vAlign w:val="center"/>
                </w:tcPr>
                <w:p w14:paraId="62EA9F8C">
                  <w:pPr>
                    <w:pStyle w:val="25"/>
                    <w:keepNext w:val="0"/>
                    <w:keepLines w:val="0"/>
                    <w:pageBreakBefore w:val="0"/>
                    <w:widowControl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本项目不涉及输电线路</w:t>
                  </w:r>
                </w:p>
              </w:tc>
              <w:tc>
                <w:tcPr>
                  <w:tcW w:w="602" w:type="pct"/>
                  <w:noWrap w:val="0"/>
                  <w:vAlign w:val="center"/>
                </w:tcPr>
                <w:p w14:paraId="2D810F00">
                  <w:pPr>
                    <w:pStyle w:val="25"/>
                    <w:keepNext w:val="0"/>
                    <w:keepLines w:val="0"/>
                    <w:pageBreakBefore w:val="0"/>
                    <w:widowControl w:val="0"/>
                    <w:kinsoku/>
                    <w:wordWrap/>
                    <w:overflowPunct/>
                    <w:topLinePunct w:val="0"/>
                    <w:autoSpaceDE/>
                    <w:autoSpaceDN/>
                    <w:bidi w:val="0"/>
                    <w:snapToGrid/>
                    <w:spacing w:line="260" w:lineRule="exac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w:t>
                  </w:r>
                </w:p>
              </w:tc>
            </w:tr>
            <w:tr w14:paraId="7A2C3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32" w:type="pct"/>
                  <w:vMerge w:val="continue"/>
                  <w:noWrap w:val="0"/>
                  <w:vAlign w:val="center"/>
                </w:tcPr>
                <w:p w14:paraId="2740592E">
                  <w:pPr>
                    <w:pStyle w:val="25"/>
                    <w:keepNext w:val="0"/>
                    <w:keepLines w:val="0"/>
                    <w:pageBreakBefore w:val="0"/>
                    <w:widowControl w:val="0"/>
                    <w:kinsoku/>
                    <w:wordWrap/>
                    <w:overflowPunct/>
                    <w:topLinePunct w:val="0"/>
                    <w:autoSpaceDE/>
                    <w:autoSpaceDN/>
                    <w:bidi w:val="0"/>
                    <w:snapToGrid/>
                    <w:spacing w:line="260" w:lineRule="exact"/>
                    <w:rPr>
                      <w:rFonts w:hint="default" w:ascii="Times New Roman" w:hAnsi="Times New Roman" w:eastAsia="宋体" w:cs="Times New Roman"/>
                      <w:color w:val="auto"/>
                      <w:kern w:val="2"/>
                      <w:sz w:val="21"/>
                      <w:szCs w:val="21"/>
                      <w:highlight w:val="none"/>
                      <w:vertAlign w:val="baseline"/>
                      <w:lang w:val="en-US" w:eastAsia="zh-CN" w:bidi="ar-SA"/>
                    </w:rPr>
                  </w:pPr>
                </w:p>
              </w:tc>
              <w:tc>
                <w:tcPr>
                  <w:tcW w:w="2708" w:type="pct"/>
                  <w:noWrap w:val="0"/>
                  <w:vAlign w:val="center"/>
                </w:tcPr>
                <w:p w14:paraId="42FB63DD">
                  <w:pPr>
                    <w:keepNext w:val="0"/>
                    <w:keepLines w:val="0"/>
                    <w:pageBreakBefore w:val="0"/>
                    <w:widowControl w:val="0"/>
                    <w:suppressLineNumbers w:val="0"/>
                    <w:kinsoku/>
                    <w:wordWrap/>
                    <w:overflowPunct/>
                    <w:topLinePunct w:val="0"/>
                    <w:autoSpaceDE/>
                    <w:autoSpaceDN/>
                    <w:bidi w:val="0"/>
                    <w:snapToGrid/>
                    <w:spacing w:line="260" w:lineRule="exact"/>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进入自然保护区的输电线路，应按照HJ19的要求开展生态现状调查，避让保护对象的集中分布区。</w:t>
                  </w:r>
                </w:p>
              </w:tc>
              <w:tc>
                <w:tcPr>
                  <w:tcW w:w="1811" w:type="dxa"/>
                  <w:noWrap w:val="0"/>
                  <w:vAlign w:val="center"/>
                </w:tcPr>
                <w:p w14:paraId="356D23C4">
                  <w:pPr>
                    <w:pStyle w:val="25"/>
                    <w:keepNext w:val="0"/>
                    <w:keepLines w:val="0"/>
                    <w:pageBreakBefore w:val="0"/>
                    <w:widowControl w:val="0"/>
                    <w:kinsoku/>
                    <w:wordWrap/>
                    <w:overflowPunct/>
                    <w:topLinePunct w:val="0"/>
                    <w:autoSpaceDE/>
                    <w:autoSpaceDN/>
                    <w:bidi w:val="0"/>
                    <w:snapToGrid/>
                    <w:spacing w:line="260" w:lineRule="exact"/>
                    <w:ind w:firstLine="0" w:firstLineChars="0"/>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本项目不涉及输电线路</w:t>
                  </w:r>
                </w:p>
              </w:tc>
              <w:tc>
                <w:tcPr>
                  <w:tcW w:w="804" w:type="dxa"/>
                  <w:noWrap w:val="0"/>
                  <w:vAlign w:val="center"/>
                </w:tcPr>
                <w:p w14:paraId="579905E5">
                  <w:pPr>
                    <w:pStyle w:val="25"/>
                    <w:keepNext w:val="0"/>
                    <w:keepLines w:val="0"/>
                    <w:pageBreakBefore w:val="0"/>
                    <w:widowControl w:val="0"/>
                    <w:kinsoku/>
                    <w:wordWrap/>
                    <w:overflowPunct/>
                    <w:topLinePunct w:val="0"/>
                    <w:autoSpaceDE/>
                    <w:autoSpaceDN/>
                    <w:bidi w:val="0"/>
                    <w:snapToGrid/>
                    <w:spacing w:line="2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vertAlign w:val="baseline"/>
                      <w:lang w:val="en-US" w:eastAsia="zh-CN" w:bidi="ar-SA"/>
                    </w:rPr>
                    <w:t>-</w:t>
                  </w:r>
                </w:p>
              </w:tc>
            </w:tr>
          </w:tbl>
          <w:p w14:paraId="4A44E5B3">
            <w:pPr>
              <w:pStyle w:val="25"/>
              <w:keepNext w:val="0"/>
              <w:keepLines w:val="0"/>
              <w:pageBreakBefore w:val="0"/>
              <w:widowControl w:val="0"/>
              <w:numPr>
                <w:ilvl w:val="0"/>
                <w:numId w:val="0"/>
              </w:numPr>
              <w:wordWrap/>
              <w:topLinePunct w:val="0"/>
              <w:bidi w:val="0"/>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（2）储能电站的建设符合《甘泉堡工业园总体规划（2016-2030年）》中的产业布局和用地布局，符合</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甘泉堡工业园总体规划（2016-2030年）</w:t>
            </w:r>
            <w:r>
              <w:rPr>
                <w:rFonts w:hint="default" w:ascii="Times New Roman" w:hAnsi="Times New Roman" w:eastAsia="宋体" w:cs="Times New Roman"/>
                <w:color w:val="auto"/>
                <w:kern w:val="2"/>
                <w:sz w:val="24"/>
                <w:szCs w:val="24"/>
                <w:highlight w:val="none"/>
                <w:lang w:val="en-US" w:eastAsia="zh-CN" w:bidi="ar-SA"/>
              </w:rPr>
              <w:t>环境影响报告书》</w:t>
            </w:r>
            <w:r>
              <w:rPr>
                <w:rFonts w:hint="eastAsia" w:ascii="Times New Roman" w:hAnsi="Times New Roman" w:eastAsia="宋体" w:cs="Times New Roman"/>
                <w:color w:val="auto"/>
                <w:kern w:val="2"/>
                <w:sz w:val="24"/>
                <w:szCs w:val="24"/>
                <w:highlight w:val="none"/>
                <w:lang w:val="en-US" w:eastAsia="zh-CN" w:bidi="ar-SA"/>
              </w:rPr>
              <w:t>评价结论及审查意见。</w:t>
            </w:r>
          </w:p>
          <w:p w14:paraId="72EFA7EB">
            <w:pPr>
              <w:pStyle w:val="25"/>
              <w:keepNext w:val="0"/>
              <w:keepLines w:val="0"/>
              <w:pageBreakBefore w:val="0"/>
              <w:widowControl w:val="0"/>
              <w:numPr>
                <w:ilvl w:val="0"/>
                <w:numId w:val="0"/>
              </w:numPr>
              <w:wordWrap/>
              <w:topLinePunct w:val="0"/>
              <w:bidi w:val="0"/>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项目区周围</w:t>
            </w:r>
            <w:r>
              <w:rPr>
                <w:rFonts w:hint="default" w:ascii="Times New Roman" w:hAnsi="Times New Roman" w:eastAsia="宋体" w:cs="Times New Roman"/>
                <w:color w:val="auto"/>
                <w:kern w:val="2"/>
                <w:sz w:val="24"/>
                <w:szCs w:val="24"/>
                <w:highlight w:val="none"/>
                <w:lang w:val="en-US" w:eastAsia="zh-CN" w:bidi="ar-SA"/>
              </w:rPr>
              <w:t>不涉及生态红线，不涉及自然保护区、饮用水水源保护区</w:t>
            </w:r>
            <w:r>
              <w:rPr>
                <w:rFonts w:hint="eastAsia" w:ascii="Times New Roman" w:hAnsi="Times New Roman" w:eastAsia="宋体" w:cs="Times New Roman"/>
                <w:color w:val="auto"/>
                <w:kern w:val="2"/>
                <w:sz w:val="24"/>
                <w:szCs w:val="24"/>
                <w:highlight w:val="none"/>
                <w:lang w:val="en-US" w:eastAsia="zh-CN" w:bidi="ar-SA"/>
              </w:rPr>
              <w:t>、林区</w:t>
            </w:r>
            <w:r>
              <w:rPr>
                <w:rFonts w:hint="default" w:ascii="Times New Roman" w:hAnsi="Times New Roman" w:eastAsia="宋体" w:cs="Times New Roman"/>
                <w:color w:val="auto"/>
                <w:kern w:val="2"/>
                <w:sz w:val="24"/>
                <w:szCs w:val="24"/>
                <w:highlight w:val="none"/>
                <w:lang w:val="en-US" w:eastAsia="zh-CN" w:bidi="ar-SA"/>
              </w:rPr>
              <w:t>等环境敏感区</w:t>
            </w:r>
            <w:r>
              <w:rPr>
                <w:rFonts w:hint="eastAsia" w:ascii="Times New Roman" w:hAnsi="Times New Roman" w:eastAsia="宋体" w:cs="Times New Roman"/>
                <w:color w:val="auto"/>
                <w:kern w:val="2"/>
                <w:sz w:val="24"/>
                <w:szCs w:val="24"/>
                <w:highlight w:val="none"/>
                <w:lang w:val="en-US" w:eastAsia="zh-CN" w:bidi="ar-SA"/>
              </w:rPr>
              <w:t>，亦不涉及</w:t>
            </w:r>
            <w:r>
              <w:rPr>
                <w:rFonts w:hint="default" w:ascii="Times New Roman" w:hAnsi="Times New Roman" w:eastAsia="宋体" w:cs="Times New Roman"/>
                <w:color w:val="auto"/>
                <w:kern w:val="2"/>
                <w:sz w:val="24"/>
                <w:szCs w:val="24"/>
                <w:highlight w:val="none"/>
                <w:lang w:val="en-US" w:eastAsia="zh-CN" w:bidi="ar-SA"/>
              </w:rPr>
              <w:t>居住、医疗卫生、文化教育、科研、行政办公等功能区域</w:t>
            </w:r>
            <w:r>
              <w:rPr>
                <w:rFonts w:hint="eastAsia" w:ascii="Times New Roman" w:hAnsi="Times New Roman" w:eastAsia="宋体" w:cs="Times New Roman"/>
                <w:color w:val="auto"/>
                <w:kern w:val="2"/>
                <w:sz w:val="24"/>
                <w:szCs w:val="24"/>
                <w:highlight w:val="none"/>
                <w:lang w:val="en-US" w:eastAsia="zh-CN" w:bidi="ar-SA"/>
              </w:rPr>
              <w:t>。</w:t>
            </w:r>
          </w:p>
          <w:p w14:paraId="7E4CA4D0">
            <w:pPr>
              <w:keepNext w:val="0"/>
              <w:keepLines w:val="0"/>
              <w:pageBreakBefore w:val="0"/>
              <w:widowControl w:val="0"/>
              <w:wordWrap/>
              <w:topLinePunct w:val="0"/>
              <w:bidi w:val="0"/>
              <w:spacing w:line="360" w:lineRule="auto"/>
              <w:ind w:firstLine="480" w:firstLineChars="200"/>
              <w:rPr>
                <w:rFonts w:hint="eastAsia" w:cs="Times New Roman"/>
                <w:iCs/>
                <w:color w:val="auto"/>
                <w:sz w:val="24"/>
                <w:highlight w:val="none"/>
                <w:u w:val="none"/>
                <w:lang w:val="en-US" w:eastAsia="zh-CN"/>
              </w:rPr>
            </w:pPr>
            <w:r>
              <w:rPr>
                <w:rFonts w:hint="default" w:ascii="Times New Roman" w:hAnsi="Times New Roman" w:cs="Times New Roman"/>
                <w:iCs/>
                <w:color w:val="auto"/>
                <w:sz w:val="24"/>
                <w:highlight w:val="none"/>
                <w:u w:val="none"/>
                <w:lang w:eastAsia="zh-CN"/>
              </w:rPr>
              <w:t>综上所述，</w:t>
            </w:r>
            <w:r>
              <w:rPr>
                <w:rFonts w:hint="eastAsia" w:cs="Times New Roman"/>
                <w:iCs/>
                <w:color w:val="auto"/>
                <w:sz w:val="24"/>
                <w:highlight w:val="none"/>
                <w:u w:val="none"/>
                <w:lang w:eastAsia="zh-CN"/>
              </w:rPr>
              <w:t>本项目</w:t>
            </w:r>
            <w:r>
              <w:rPr>
                <w:rFonts w:hint="eastAsia" w:cs="Times New Roman"/>
                <w:iCs/>
                <w:color w:val="auto"/>
                <w:sz w:val="24"/>
                <w:highlight w:val="none"/>
                <w:u w:val="none"/>
                <w:lang w:val="en-US" w:eastAsia="zh-CN"/>
              </w:rPr>
              <w:t>选址符合</w:t>
            </w:r>
            <w:r>
              <w:rPr>
                <w:rFonts w:hint="default" w:ascii="Times New Roman" w:hAnsi="Times New Roman" w:cs="Times New Roman"/>
                <w:iCs/>
                <w:color w:val="auto"/>
                <w:sz w:val="24"/>
                <w:highlight w:val="none"/>
                <w:u w:val="none"/>
                <w:lang w:eastAsia="zh-CN"/>
              </w:rPr>
              <w:t>《输变电建设项目环境保护技术要求》（HJ1113-2020）</w:t>
            </w:r>
            <w:r>
              <w:rPr>
                <w:rFonts w:hint="eastAsia" w:cs="Times New Roman"/>
                <w:iCs/>
                <w:color w:val="auto"/>
                <w:sz w:val="24"/>
                <w:highlight w:val="none"/>
                <w:u w:val="none"/>
                <w:lang w:val="en-US" w:eastAsia="zh-CN"/>
              </w:rPr>
              <w:t>相关要求、符合园区规划，选址较为合理。</w:t>
            </w:r>
          </w:p>
          <w:p w14:paraId="1D1E472C">
            <w:pPr>
              <w:pStyle w:val="23"/>
              <w:rPr>
                <w:rFonts w:hint="eastAsia" w:cs="Times New Roman"/>
                <w:iCs/>
                <w:color w:val="auto"/>
                <w:sz w:val="24"/>
                <w:highlight w:val="none"/>
                <w:u w:val="none"/>
                <w:lang w:val="en-US" w:eastAsia="zh-CN"/>
              </w:rPr>
            </w:pPr>
          </w:p>
          <w:p w14:paraId="3185E717">
            <w:pPr>
              <w:pStyle w:val="23"/>
              <w:rPr>
                <w:rFonts w:hint="default" w:cs="Times New Roman"/>
                <w:iCs/>
                <w:color w:val="auto"/>
                <w:sz w:val="24"/>
                <w:highlight w:val="none"/>
                <w:u w:val="none"/>
                <w:lang w:val="en-US" w:eastAsia="zh-CN"/>
              </w:rPr>
            </w:pPr>
          </w:p>
        </w:tc>
      </w:tr>
    </w:tbl>
    <w:p w14:paraId="57832159">
      <w:pPr>
        <w:pStyle w:val="16"/>
        <w:keepNext w:val="0"/>
        <w:keepLines w:val="0"/>
        <w:pageBreakBefore w:val="0"/>
        <w:widowControl w:val="0"/>
        <w:wordWrap/>
        <w:topLinePunct w:val="0"/>
        <w:bidi w:val="0"/>
        <w:jc w:val="center"/>
        <w:rPr>
          <w:rFonts w:hint="default" w:ascii="Times New Roman" w:hAnsi="Times New Roman" w:eastAsia="黑体" w:cs="Times New Roman"/>
          <w:snapToGrid w:val="0"/>
          <w:color w:val="auto"/>
          <w:sz w:val="36"/>
          <w:szCs w:val="36"/>
          <w:highlight w:val="none"/>
        </w:rPr>
        <w:sectPr>
          <w:pgSz w:w="11906" w:h="16838"/>
          <w:pgMar w:top="1440" w:right="1800" w:bottom="1440" w:left="1800" w:header="851" w:footer="1077" w:gutter="0"/>
          <w:pgBorders>
            <w:top w:val="none" w:sz="0" w:space="0"/>
            <w:left w:val="none" w:sz="0" w:space="0"/>
            <w:bottom w:val="none" w:sz="0" w:space="0"/>
            <w:right w:val="none" w:sz="0" w:space="0"/>
          </w:pgBorders>
          <w:pgNumType w:fmt="decimal"/>
          <w:cols w:space="720" w:num="1"/>
          <w:docGrid w:linePitch="312" w:charSpace="0"/>
        </w:sectPr>
      </w:pPr>
    </w:p>
    <w:p w14:paraId="22BFCA53">
      <w:pPr>
        <w:keepNext w:val="0"/>
        <w:keepLines w:val="0"/>
        <w:pageBreakBefore w:val="0"/>
        <w:widowControl w:val="0"/>
        <w:wordWrap/>
        <w:topLinePunct w:val="0"/>
        <w:bidi w:val="0"/>
        <w:rPr>
          <w:rFonts w:hint="default" w:ascii="Times New Roman" w:hAnsi="Times New Roman" w:cs="Times New Roman"/>
          <w:color w:val="auto"/>
          <w:highlight w:val="none"/>
        </w:rPr>
      </w:pPr>
    </w:p>
    <w:p w14:paraId="6B15EBF6">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highlight w:val="none"/>
        </w:rPr>
      </w:pPr>
      <w:bookmarkStart w:id="94" w:name="_Toc12061"/>
      <w:r>
        <w:rPr>
          <w:rFonts w:hint="default" w:ascii="Times New Roman" w:hAnsi="Times New Roman" w:eastAsia="黑体" w:cs="Times New Roman"/>
          <w:snapToGrid w:val="0"/>
          <w:color w:val="auto"/>
          <w:sz w:val="30"/>
          <w:szCs w:val="30"/>
          <w:highlight w:val="none"/>
        </w:rPr>
        <w:t>五、主要生态环境保护措施</w:t>
      </w:r>
      <w:bookmarkEnd w:id="94"/>
    </w:p>
    <w:tbl>
      <w:tblPr>
        <w:tblStyle w:val="18"/>
        <w:tblW w:w="509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7871"/>
      </w:tblGrid>
      <w:tr w14:paraId="46BFEC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45" w:hRule="atLeast"/>
          <w:jc w:val="center"/>
        </w:trPr>
        <w:tc>
          <w:tcPr>
            <w:tcW w:w="428" w:type="pct"/>
            <w:noWrap w:val="0"/>
            <w:tcMar>
              <w:left w:w="28" w:type="dxa"/>
              <w:right w:w="28" w:type="dxa"/>
            </w:tcMar>
            <w:vAlign w:val="center"/>
          </w:tcPr>
          <w:p w14:paraId="7AFBEC58">
            <w:pPr>
              <w:keepNext w:val="0"/>
              <w:keepLines w:val="0"/>
              <w:pageBreakBefore w:val="0"/>
              <w:widowControl w:val="0"/>
              <w:wordWrap/>
              <w:topLinePunct w:val="0"/>
              <w:bidi w:val="0"/>
              <w:adjustRightInd w:val="0"/>
              <w:snapToGrid w:val="0"/>
              <w:jc w:val="center"/>
              <w:rPr>
                <w:rFonts w:hint="default" w:ascii="Times New Roman" w:hAnsi="Times New Roman" w:cs="Times New Roman"/>
                <w:bCs/>
                <w:color w:val="auto"/>
                <w:spacing w:val="10"/>
                <w:sz w:val="24"/>
                <w:szCs w:val="24"/>
                <w:highlight w:val="none"/>
              </w:rPr>
            </w:pPr>
            <w:r>
              <w:rPr>
                <w:rFonts w:hint="default" w:ascii="Times New Roman" w:hAnsi="Times New Roman" w:cs="Times New Roman"/>
                <w:bCs/>
                <w:color w:val="auto"/>
                <w:spacing w:val="10"/>
                <w:sz w:val="24"/>
                <w:szCs w:val="24"/>
                <w:highlight w:val="none"/>
              </w:rPr>
              <w:t>施</w:t>
            </w:r>
          </w:p>
          <w:p w14:paraId="24DA7E71">
            <w:pPr>
              <w:keepNext w:val="0"/>
              <w:keepLines w:val="0"/>
              <w:pageBreakBefore w:val="0"/>
              <w:widowControl w:val="0"/>
              <w:wordWrap/>
              <w:topLinePunct w:val="0"/>
              <w:bidi w:val="0"/>
              <w:adjustRightInd w:val="0"/>
              <w:snapToGrid w:val="0"/>
              <w:jc w:val="center"/>
              <w:rPr>
                <w:rFonts w:hint="default" w:ascii="Times New Roman" w:hAnsi="Times New Roman" w:cs="Times New Roman"/>
                <w:bCs/>
                <w:color w:val="auto"/>
                <w:spacing w:val="10"/>
                <w:sz w:val="24"/>
                <w:szCs w:val="24"/>
                <w:highlight w:val="none"/>
              </w:rPr>
            </w:pPr>
            <w:r>
              <w:rPr>
                <w:rFonts w:hint="default" w:ascii="Times New Roman" w:hAnsi="Times New Roman" w:cs="Times New Roman"/>
                <w:bCs/>
                <w:color w:val="auto"/>
                <w:spacing w:val="10"/>
                <w:sz w:val="24"/>
                <w:szCs w:val="24"/>
                <w:highlight w:val="none"/>
              </w:rPr>
              <w:t>工</w:t>
            </w:r>
          </w:p>
          <w:p w14:paraId="48212DF8">
            <w:pPr>
              <w:keepNext w:val="0"/>
              <w:keepLines w:val="0"/>
              <w:pageBreakBefore w:val="0"/>
              <w:widowControl w:val="0"/>
              <w:wordWrap/>
              <w:topLinePunct w:val="0"/>
              <w:bidi w:val="0"/>
              <w:adjustRightInd w:val="0"/>
              <w:snapToGrid w:val="0"/>
              <w:jc w:val="center"/>
              <w:rPr>
                <w:rFonts w:hint="default" w:ascii="Times New Roman" w:hAnsi="Times New Roman" w:cs="Times New Roman"/>
                <w:bCs/>
                <w:color w:val="auto"/>
                <w:spacing w:val="10"/>
                <w:sz w:val="24"/>
                <w:szCs w:val="24"/>
                <w:highlight w:val="none"/>
              </w:rPr>
            </w:pPr>
            <w:r>
              <w:rPr>
                <w:rFonts w:hint="default" w:ascii="Times New Roman" w:hAnsi="Times New Roman" w:cs="Times New Roman"/>
                <w:bCs/>
                <w:color w:val="auto"/>
                <w:spacing w:val="10"/>
                <w:sz w:val="24"/>
                <w:szCs w:val="24"/>
                <w:highlight w:val="none"/>
              </w:rPr>
              <w:t>期</w:t>
            </w:r>
          </w:p>
          <w:p w14:paraId="493C470F">
            <w:pPr>
              <w:keepNext w:val="0"/>
              <w:keepLines w:val="0"/>
              <w:pageBreakBefore w:val="0"/>
              <w:widowControl w:val="0"/>
              <w:wordWrap/>
              <w:topLinePunct w:val="0"/>
              <w:bidi w:val="0"/>
              <w:adjustRightInd w:val="0"/>
              <w:snapToGrid w:val="0"/>
              <w:jc w:val="center"/>
              <w:rPr>
                <w:rFonts w:hint="default" w:ascii="Times New Roman" w:hAnsi="Times New Roman" w:cs="Times New Roman"/>
                <w:bCs/>
                <w:color w:val="auto"/>
                <w:spacing w:val="10"/>
                <w:sz w:val="24"/>
                <w:szCs w:val="24"/>
                <w:highlight w:val="none"/>
              </w:rPr>
            </w:pPr>
            <w:r>
              <w:rPr>
                <w:rFonts w:hint="default" w:ascii="Times New Roman" w:hAnsi="Times New Roman" w:cs="Times New Roman"/>
                <w:bCs/>
                <w:color w:val="auto"/>
                <w:spacing w:val="10"/>
                <w:sz w:val="24"/>
                <w:szCs w:val="24"/>
                <w:highlight w:val="none"/>
              </w:rPr>
              <w:t>生</w:t>
            </w:r>
          </w:p>
          <w:p w14:paraId="51B6551D">
            <w:pPr>
              <w:keepNext w:val="0"/>
              <w:keepLines w:val="0"/>
              <w:pageBreakBefore w:val="0"/>
              <w:widowControl w:val="0"/>
              <w:wordWrap/>
              <w:topLinePunct w:val="0"/>
              <w:bidi w:val="0"/>
              <w:adjustRightInd w:val="0"/>
              <w:snapToGrid w:val="0"/>
              <w:jc w:val="center"/>
              <w:rPr>
                <w:rFonts w:hint="default" w:ascii="Times New Roman" w:hAnsi="Times New Roman" w:cs="Times New Roman"/>
                <w:bCs/>
                <w:color w:val="auto"/>
                <w:spacing w:val="10"/>
                <w:sz w:val="24"/>
                <w:szCs w:val="24"/>
                <w:highlight w:val="none"/>
              </w:rPr>
            </w:pPr>
            <w:r>
              <w:rPr>
                <w:rFonts w:hint="default" w:ascii="Times New Roman" w:hAnsi="Times New Roman" w:cs="Times New Roman"/>
                <w:bCs/>
                <w:color w:val="auto"/>
                <w:spacing w:val="10"/>
                <w:sz w:val="24"/>
                <w:szCs w:val="24"/>
                <w:highlight w:val="none"/>
              </w:rPr>
              <w:t>态</w:t>
            </w:r>
          </w:p>
          <w:p w14:paraId="54DDB51A">
            <w:pPr>
              <w:keepNext w:val="0"/>
              <w:keepLines w:val="0"/>
              <w:pageBreakBefore w:val="0"/>
              <w:widowControl w:val="0"/>
              <w:wordWrap/>
              <w:topLinePunct w:val="0"/>
              <w:bidi w:val="0"/>
              <w:adjustRightInd w:val="0"/>
              <w:snapToGrid w:val="0"/>
              <w:jc w:val="center"/>
              <w:rPr>
                <w:rFonts w:hint="default" w:ascii="Times New Roman" w:hAnsi="Times New Roman" w:cs="Times New Roman"/>
                <w:bCs/>
                <w:color w:val="auto"/>
                <w:spacing w:val="10"/>
                <w:sz w:val="24"/>
                <w:szCs w:val="24"/>
                <w:highlight w:val="none"/>
              </w:rPr>
            </w:pPr>
            <w:r>
              <w:rPr>
                <w:rFonts w:hint="default" w:ascii="Times New Roman" w:hAnsi="Times New Roman" w:cs="Times New Roman"/>
                <w:bCs/>
                <w:color w:val="auto"/>
                <w:spacing w:val="10"/>
                <w:sz w:val="24"/>
                <w:szCs w:val="24"/>
                <w:highlight w:val="none"/>
              </w:rPr>
              <w:t>环</w:t>
            </w:r>
          </w:p>
          <w:p w14:paraId="34A46165">
            <w:pPr>
              <w:keepNext w:val="0"/>
              <w:keepLines w:val="0"/>
              <w:pageBreakBefore w:val="0"/>
              <w:widowControl w:val="0"/>
              <w:wordWrap/>
              <w:topLinePunct w:val="0"/>
              <w:bidi w:val="0"/>
              <w:adjustRightInd w:val="0"/>
              <w:snapToGrid w:val="0"/>
              <w:jc w:val="center"/>
              <w:rPr>
                <w:rFonts w:hint="default" w:ascii="Times New Roman" w:hAnsi="Times New Roman" w:cs="Times New Roman"/>
                <w:bCs/>
                <w:color w:val="auto"/>
                <w:spacing w:val="10"/>
                <w:sz w:val="24"/>
                <w:szCs w:val="24"/>
                <w:highlight w:val="none"/>
              </w:rPr>
            </w:pPr>
            <w:r>
              <w:rPr>
                <w:rFonts w:hint="default" w:ascii="Times New Roman" w:hAnsi="Times New Roman" w:cs="Times New Roman"/>
                <w:bCs/>
                <w:color w:val="auto"/>
                <w:spacing w:val="10"/>
                <w:sz w:val="24"/>
                <w:szCs w:val="24"/>
                <w:highlight w:val="none"/>
              </w:rPr>
              <w:t>境</w:t>
            </w:r>
          </w:p>
          <w:p w14:paraId="26671225">
            <w:pPr>
              <w:keepNext w:val="0"/>
              <w:keepLines w:val="0"/>
              <w:pageBreakBefore w:val="0"/>
              <w:widowControl w:val="0"/>
              <w:wordWrap/>
              <w:topLinePunct w:val="0"/>
              <w:bidi w:val="0"/>
              <w:adjustRightInd w:val="0"/>
              <w:snapToGrid w:val="0"/>
              <w:jc w:val="center"/>
              <w:rPr>
                <w:rFonts w:hint="default" w:ascii="Times New Roman" w:hAnsi="Times New Roman" w:cs="Times New Roman"/>
                <w:bCs/>
                <w:color w:val="auto"/>
                <w:spacing w:val="10"/>
                <w:sz w:val="24"/>
                <w:szCs w:val="24"/>
                <w:highlight w:val="none"/>
              </w:rPr>
            </w:pPr>
            <w:r>
              <w:rPr>
                <w:rFonts w:hint="default" w:ascii="Times New Roman" w:hAnsi="Times New Roman" w:cs="Times New Roman"/>
                <w:bCs/>
                <w:color w:val="auto"/>
                <w:spacing w:val="10"/>
                <w:sz w:val="24"/>
                <w:szCs w:val="24"/>
                <w:highlight w:val="none"/>
              </w:rPr>
              <w:t>保</w:t>
            </w:r>
          </w:p>
          <w:p w14:paraId="5A64179A">
            <w:pPr>
              <w:keepNext w:val="0"/>
              <w:keepLines w:val="0"/>
              <w:pageBreakBefore w:val="0"/>
              <w:widowControl w:val="0"/>
              <w:wordWrap/>
              <w:topLinePunct w:val="0"/>
              <w:bidi w:val="0"/>
              <w:adjustRightInd w:val="0"/>
              <w:snapToGrid w:val="0"/>
              <w:jc w:val="center"/>
              <w:rPr>
                <w:rFonts w:hint="default" w:ascii="Times New Roman" w:hAnsi="Times New Roman" w:cs="Times New Roman"/>
                <w:bCs/>
                <w:color w:val="auto"/>
                <w:spacing w:val="10"/>
                <w:sz w:val="24"/>
                <w:szCs w:val="24"/>
                <w:highlight w:val="none"/>
              </w:rPr>
            </w:pPr>
            <w:r>
              <w:rPr>
                <w:rFonts w:hint="default" w:ascii="Times New Roman" w:hAnsi="Times New Roman" w:cs="Times New Roman"/>
                <w:bCs/>
                <w:color w:val="auto"/>
                <w:spacing w:val="10"/>
                <w:sz w:val="24"/>
                <w:szCs w:val="24"/>
                <w:highlight w:val="none"/>
              </w:rPr>
              <w:t>护</w:t>
            </w:r>
          </w:p>
          <w:p w14:paraId="6D1F0F0B">
            <w:pPr>
              <w:keepNext w:val="0"/>
              <w:keepLines w:val="0"/>
              <w:pageBreakBefore w:val="0"/>
              <w:widowControl w:val="0"/>
              <w:wordWrap/>
              <w:topLinePunct w:val="0"/>
              <w:bidi w:val="0"/>
              <w:adjustRightInd w:val="0"/>
              <w:snapToGrid w:val="0"/>
              <w:jc w:val="center"/>
              <w:rPr>
                <w:rFonts w:hint="default" w:ascii="Times New Roman" w:hAnsi="Times New Roman" w:cs="Times New Roman"/>
                <w:bCs/>
                <w:color w:val="auto"/>
                <w:spacing w:val="10"/>
                <w:sz w:val="24"/>
                <w:szCs w:val="24"/>
                <w:highlight w:val="none"/>
              </w:rPr>
            </w:pPr>
            <w:r>
              <w:rPr>
                <w:rFonts w:hint="default" w:ascii="Times New Roman" w:hAnsi="Times New Roman" w:cs="Times New Roman"/>
                <w:bCs/>
                <w:color w:val="auto"/>
                <w:spacing w:val="10"/>
                <w:sz w:val="24"/>
                <w:szCs w:val="24"/>
                <w:highlight w:val="none"/>
              </w:rPr>
              <w:t>措</w:t>
            </w:r>
          </w:p>
          <w:p w14:paraId="38218A43">
            <w:pPr>
              <w:keepNext w:val="0"/>
              <w:keepLines w:val="0"/>
              <w:pageBreakBefore w:val="0"/>
              <w:widowControl w:val="0"/>
              <w:wordWrap/>
              <w:topLinePunct w:val="0"/>
              <w:bidi w:val="0"/>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pacing w:val="10"/>
                <w:sz w:val="24"/>
                <w:szCs w:val="24"/>
                <w:highlight w:val="none"/>
              </w:rPr>
              <w:t>施</w:t>
            </w:r>
          </w:p>
        </w:tc>
        <w:tc>
          <w:tcPr>
            <w:tcW w:w="4571" w:type="pct"/>
            <w:noWrap w:val="0"/>
            <w:vAlign w:val="top"/>
          </w:tcPr>
          <w:p w14:paraId="17C02381">
            <w:pPr>
              <w:keepNext w:val="0"/>
              <w:keepLines w:val="0"/>
              <w:pageBreakBefore w:val="0"/>
              <w:widowControl w:val="0"/>
              <w:tabs>
                <w:tab w:val="left" w:pos="6480"/>
              </w:tabs>
              <w:wordWrap/>
              <w:topLinePunct w:val="0"/>
              <w:bidi w:val="0"/>
              <w:spacing w:line="360" w:lineRule="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val="en-US" w:eastAsia="zh-CN"/>
              </w:rPr>
              <w:t>1.</w:t>
            </w:r>
            <w:r>
              <w:rPr>
                <w:rFonts w:hint="default" w:ascii="Times New Roman" w:hAnsi="Times New Roman" w:cs="Times New Roman"/>
                <w:b/>
                <w:bCs/>
                <w:color w:val="auto"/>
                <w:sz w:val="24"/>
                <w:szCs w:val="24"/>
                <w:highlight w:val="none"/>
              </w:rPr>
              <w:t>扬尘</w:t>
            </w:r>
            <w:r>
              <w:rPr>
                <w:rFonts w:hint="default" w:ascii="Times New Roman" w:hAnsi="Times New Roman" w:cs="Times New Roman"/>
                <w:b/>
                <w:bCs/>
                <w:color w:val="auto"/>
                <w:sz w:val="24"/>
                <w:szCs w:val="24"/>
                <w:highlight w:val="none"/>
                <w:lang w:val="en-US" w:eastAsia="zh-CN"/>
              </w:rPr>
              <w:t>治理措施</w:t>
            </w:r>
          </w:p>
          <w:p w14:paraId="51EBC00C">
            <w:pPr>
              <w:keepNext w:val="0"/>
              <w:keepLines w:val="0"/>
              <w:pageBreakBefore w:val="0"/>
              <w:widowControl w:val="0"/>
              <w:tabs>
                <w:tab w:val="left" w:pos="6480"/>
              </w:tabs>
              <w:wordWrap/>
              <w:topLinePunct w:val="0"/>
              <w:bidi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为减少施工扬尘对周围环境的影响，环评提出以下防治措施和要求：</w:t>
            </w:r>
          </w:p>
          <w:p w14:paraId="118A9B97">
            <w:pPr>
              <w:keepNext w:val="0"/>
              <w:keepLines w:val="0"/>
              <w:pageBreakBefore w:val="0"/>
              <w:widowControl w:val="0"/>
              <w:tabs>
                <w:tab w:val="left" w:pos="6480"/>
              </w:tabs>
              <w:wordWrap/>
              <w:topLinePunct w:val="0"/>
              <w:bidi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加强对施工现场和物料运输的管理，运输车辆不能超载过量，并尽量采取遮盖、密闭措施，减少沿途撒落，保持道路清洁，管控料堆和渣土堆放，防治扬尘污染。</w:t>
            </w:r>
          </w:p>
          <w:p w14:paraId="7774EF2B">
            <w:pPr>
              <w:keepNext w:val="0"/>
              <w:keepLines w:val="0"/>
              <w:pageBreakBefore w:val="0"/>
              <w:widowControl w:val="0"/>
              <w:tabs>
                <w:tab w:val="left" w:pos="6480"/>
              </w:tabs>
              <w:wordWrap/>
              <w:topLinePunct w:val="0"/>
              <w:bidi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对易起尘的临时堆土、运输过程中的土石方等采取密闭式防尘布(网)进行苫盖，施工面集中且有条件的地方宜采取洒水降尘等有效措施。</w:t>
            </w:r>
          </w:p>
          <w:p w14:paraId="0B6CF5AC">
            <w:pPr>
              <w:keepNext w:val="0"/>
              <w:keepLines w:val="0"/>
              <w:pageBreakBefore w:val="0"/>
              <w:widowControl w:val="0"/>
              <w:tabs>
                <w:tab w:val="left" w:pos="6480"/>
              </w:tabs>
              <w:wordWrap/>
              <w:topLinePunct w:val="0"/>
              <w:bidi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施工单位应文明施工，加强施工期的环境管理和环境监控工作，禁止大风（4级以上）天气施工。</w:t>
            </w:r>
          </w:p>
          <w:p w14:paraId="46C603E2">
            <w:pPr>
              <w:keepNext w:val="0"/>
              <w:keepLines w:val="0"/>
              <w:pageBreakBefore w:val="0"/>
              <w:widowControl w:val="0"/>
              <w:tabs>
                <w:tab w:val="left" w:pos="6480"/>
              </w:tabs>
              <w:wordWrap/>
              <w:topLinePunct w:val="0"/>
              <w:bidi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加强材料转运管理，合理装卸，规范操作，对可能产生扬尘的建筑材料应禁止露天堆放。</w:t>
            </w:r>
          </w:p>
          <w:p w14:paraId="1C3478A0">
            <w:pPr>
              <w:keepNext w:val="0"/>
              <w:keepLines w:val="0"/>
              <w:pageBreakBefore w:val="0"/>
              <w:widowControl w:val="0"/>
              <w:tabs>
                <w:tab w:val="left" w:pos="6480"/>
              </w:tabs>
              <w:wordWrap/>
              <w:topLinePunct w:val="0"/>
              <w:bidi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进出施工场地的车辆限制车速，场内道路、堆场及车辆进出时洒水，保持湿润，减少或避免产生扬尘。</w:t>
            </w:r>
          </w:p>
          <w:p w14:paraId="00E4505B">
            <w:pPr>
              <w:keepNext w:val="0"/>
              <w:keepLines w:val="0"/>
              <w:pageBreakBefore w:val="0"/>
              <w:widowControl w:val="0"/>
              <w:tabs>
                <w:tab w:val="left" w:pos="6480"/>
              </w:tabs>
              <w:wordWrap/>
              <w:topLinePunct w:val="0"/>
              <w:bidi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使用商品混凝土，太阳能电池板、镜场支架基坑开挖后，尽快浇筑混凝土，并及时回填，缩短裸露时间，减少扬尘发生。</w:t>
            </w:r>
          </w:p>
          <w:p w14:paraId="200BCD16">
            <w:pPr>
              <w:keepNext w:val="0"/>
              <w:keepLines w:val="0"/>
              <w:pageBreakBefore w:val="0"/>
              <w:widowControl w:val="0"/>
              <w:tabs>
                <w:tab w:val="left" w:pos="6480"/>
              </w:tabs>
              <w:wordWrap/>
              <w:topLinePunct w:val="0"/>
              <w:bidi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合理按排施工计划，对施工现场进行科学管理，减少转运环节、减少对项目区及周围</w:t>
            </w:r>
            <w:r>
              <w:rPr>
                <w:rFonts w:hint="eastAsia" w:ascii="Times New Roman" w:hAnsi="Times New Roman" w:eastAsia="宋体" w:cs="Times New Roman"/>
                <w:color w:val="auto"/>
                <w:sz w:val="24"/>
                <w:szCs w:val="24"/>
                <w:highlight w:val="none"/>
                <w:lang w:val="en-US" w:eastAsia="zh-CN"/>
              </w:rPr>
              <w:t>表层</w:t>
            </w:r>
            <w:r>
              <w:rPr>
                <w:rFonts w:hint="default" w:ascii="Times New Roman" w:hAnsi="Times New Roman" w:cs="Times New Roman"/>
                <w:color w:val="auto"/>
                <w:sz w:val="24"/>
                <w:szCs w:val="24"/>
                <w:highlight w:val="none"/>
                <w:lang w:val="en-US" w:eastAsia="zh-CN"/>
              </w:rPr>
              <w:t>的碾压、减少产尘点及水土流失。</w:t>
            </w:r>
          </w:p>
          <w:p w14:paraId="3E68CD5C">
            <w:pPr>
              <w:keepNext w:val="0"/>
              <w:keepLines w:val="0"/>
              <w:pageBreakBefore w:val="0"/>
              <w:widowControl w:val="0"/>
              <w:tabs>
                <w:tab w:val="left" w:pos="6480"/>
              </w:tabs>
              <w:wordWrap/>
              <w:topLinePunct w:val="0"/>
              <w:bidi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施工结束后，按“工完料尽场地清”的原则进行迹地恢复，采用表土对裸露地面覆盖压实。</w:t>
            </w:r>
          </w:p>
          <w:p w14:paraId="5A00336E">
            <w:pPr>
              <w:keepNext w:val="0"/>
              <w:keepLines w:val="0"/>
              <w:pageBreakBefore w:val="0"/>
              <w:widowControl w:val="0"/>
              <w:tabs>
                <w:tab w:val="left" w:pos="6480"/>
              </w:tabs>
              <w:wordWrap/>
              <w:topLinePunct w:val="0"/>
              <w:bidi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经采取上述环保措施，项目施工过程中产生的扬尘不会对周围环境空气产生不良影响。</w:t>
            </w:r>
          </w:p>
          <w:p w14:paraId="24ADE9F5">
            <w:pPr>
              <w:keepNext w:val="0"/>
              <w:keepLines w:val="0"/>
              <w:pageBreakBefore w:val="0"/>
              <w:widowControl w:val="0"/>
              <w:tabs>
                <w:tab w:val="left" w:pos="6480"/>
              </w:tabs>
              <w:wordWrap/>
              <w:topLinePunct w:val="0"/>
              <w:bidi w:val="0"/>
              <w:spacing w:line="360" w:lineRule="auto"/>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2.废水治理措施</w:t>
            </w:r>
          </w:p>
          <w:p w14:paraId="0310DD2D">
            <w:pPr>
              <w:keepNext w:val="0"/>
              <w:keepLines w:val="0"/>
              <w:pageBreakBefore w:val="0"/>
              <w:widowControl w:val="0"/>
              <w:tabs>
                <w:tab w:val="left" w:pos="6480"/>
              </w:tabs>
              <w:wordWrap/>
              <w:topLinePunct w:val="0"/>
              <w:bidi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eastAsia" w:eastAsia="宋体" w:cs="Times New Roman"/>
                <w:color w:val="auto"/>
                <w:sz w:val="24"/>
                <w:szCs w:val="24"/>
                <w:highlight w:val="none"/>
                <w:lang w:eastAsia="zh-CN"/>
              </w:rPr>
              <w:t>（</w:t>
            </w:r>
            <w:r>
              <w:rPr>
                <w:rFonts w:hint="eastAsia" w:eastAsia="宋体" w:cs="Times New Roman"/>
                <w:color w:val="auto"/>
                <w:sz w:val="24"/>
                <w:szCs w:val="24"/>
                <w:highlight w:val="none"/>
                <w:lang w:val="en-US" w:eastAsia="zh-CN"/>
              </w:rPr>
              <w:t>1</w:t>
            </w:r>
            <w:r>
              <w:rPr>
                <w:rFonts w:hint="eastAsia"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施工废水</w:t>
            </w:r>
            <w:r>
              <w:rPr>
                <w:rFonts w:hint="default" w:ascii="Times New Roman" w:hAnsi="Times New Roman" w:eastAsia="宋体" w:cs="Times New Roman"/>
                <w:color w:val="auto"/>
                <w:sz w:val="24"/>
                <w:szCs w:val="24"/>
                <w:highlight w:val="none"/>
                <w:lang w:eastAsia="zh-CN"/>
              </w:rPr>
              <w:t>经隔油沉淀池处理后循环使用，不外排</w:t>
            </w:r>
            <w:r>
              <w:rPr>
                <w:rFonts w:hint="default" w:ascii="Times New Roman" w:hAnsi="Times New Roman" w:eastAsia="宋体" w:cs="Times New Roman"/>
                <w:color w:val="auto"/>
                <w:sz w:val="24"/>
                <w:szCs w:val="24"/>
                <w:highlight w:val="none"/>
              </w:rPr>
              <w:t>。</w:t>
            </w:r>
          </w:p>
          <w:p w14:paraId="721D0B9B">
            <w:pPr>
              <w:keepNext w:val="0"/>
              <w:keepLines w:val="0"/>
              <w:pageBreakBefore w:val="0"/>
              <w:widowControl w:val="0"/>
              <w:tabs>
                <w:tab w:val="left" w:pos="6480"/>
              </w:tabs>
              <w:wordWrap/>
              <w:topLinePunct w:val="0"/>
              <w:bidi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施工期生活污水经</w:t>
            </w:r>
            <w:r>
              <w:rPr>
                <w:rFonts w:hint="eastAsia" w:ascii="Times New Roman" w:hAnsi="Times New Roman" w:eastAsia="宋体" w:cs="Times New Roman"/>
                <w:color w:val="auto"/>
                <w:sz w:val="24"/>
                <w:szCs w:val="24"/>
                <w:highlight w:val="none"/>
                <w:lang w:val="en-US" w:eastAsia="zh-CN"/>
              </w:rPr>
              <w:t>管网进入园区污水处理厂处理</w:t>
            </w:r>
            <w:r>
              <w:rPr>
                <w:rFonts w:hint="default" w:ascii="Times New Roman" w:hAnsi="Times New Roman" w:eastAsia="宋体" w:cs="Times New Roman"/>
                <w:color w:val="auto"/>
                <w:sz w:val="24"/>
                <w:szCs w:val="24"/>
                <w:highlight w:val="none"/>
                <w:lang w:eastAsia="zh-CN"/>
              </w:rPr>
              <w:t>，不外排</w:t>
            </w:r>
            <w:r>
              <w:rPr>
                <w:rFonts w:hint="default" w:ascii="Times New Roman" w:hAnsi="Times New Roman" w:eastAsia="宋体" w:cs="Times New Roman"/>
                <w:color w:val="auto"/>
                <w:sz w:val="24"/>
                <w:szCs w:val="24"/>
                <w:highlight w:val="none"/>
              </w:rPr>
              <w:t>。</w:t>
            </w:r>
          </w:p>
          <w:p w14:paraId="32FD335C">
            <w:pPr>
              <w:keepNext w:val="0"/>
              <w:keepLines w:val="0"/>
              <w:pageBreakBefore w:val="0"/>
              <w:widowControl w:val="0"/>
              <w:tabs>
                <w:tab w:val="left" w:pos="6480"/>
              </w:tabs>
              <w:wordWrap/>
              <w:topLinePunct w:val="0"/>
              <w:bidi w:val="0"/>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施工期产生的废水均得到有效的处理，无废水外排，不会对水环境产生大的影响。</w:t>
            </w:r>
          </w:p>
          <w:p w14:paraId="2C3EAF74">
            <w:pPr>
              <w:keepNext w:val="0"/>
              <w:keepLines w:val="0"/>
              <w:pageBreakBefore w:val="0"/>
              <w:widowControl w:val="0"/>
              <w:tabs>
                <w:tab w:val="left" w:pos="6480"/>
              </w:tabs>
              <w:wordWrap/>
              <w:topLinePunct w:val="0"/>
              <w:bidi w:val="0"/>
              <w:spacing w:line="360" w:lineRule="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3.噪声治理措施</w:t>
            </w:r>
          </w:p>
          <w:p w14:paraId="4C17DCF9">
            <w:pPr>
              <w:keepNext w:val="0"/>
              <w:keepLines w:val="0"/>
              <w:pageBreakBefore w:val="0"/>
              <w:widowControl w:val="0"/>
              <w:suppressLineNumbers w:val="0"/>
              <w:wordWrap/>
              <w:topLinePunct w:val="0"/>
              <w:bidi w:val="0"/>
              <w:spacing w:line="360" w:lineRule="auto"/>
              <w:ind w:firstLine="480" w:firstLineChars="200"/>
              <w:jc w:val="left"/>
              <w:rPr>
                <w:rFonts w:hint="default" w:ascii="Times New Roman" w:hAnsi="Times New Roman" w:cs="Times New Roman"/>
                <w:color w:val="auto"/>
                <w:highlight w:val="none"/>
              </w:rPr>
            </w:pPr>
            <w:r>
              <w:rPr>
                <w:rFonts w:hint="eastAsia" w:cs="Times New Roman"/>
                <w:color w:val="auto"/>
                <w:sz w:val="24"/>
                <w:highlight w:val="none"/>
                <w:lang w:eastAsia="zh-CN"/>
              </w:rPr>
              <w:t>（</w:t>
            </w:r>
            <w:r>
              <w:rPr>
                <w:rFonts w:hint="eastAsia" w:cs="Times New Roman"/>
                <w:color w:val="auto"/>
                <w:sz w:val="24"/>
                <w:highlight w:val="none"/>
                <w:lang w:val="en-US" w:eastAsia="zh-CN"/>
              </w:rPr>
              <w:t>1</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制定严格合理的施工计划，</w:t>
            </w:r>
            <w:r>
              <w:rPr>
                <w:rFonts w:hint="default" w:ascii="Times New Roman" w:hAnsi="Times New Roman" w:eastAsia="宋体" w:cs="Times New Roman"/>
                <w:color w:val="auto"/>
                <w:kern w:val="0"/>
                <w:sz w:val="24"/>
                <w:szCs w:val="24"/>
                <w:highlight w:val="none"/>
                <w:lang w:val="en-US" w:eastAsia="zh-CN" w:bidi="ar"/>
              </w:rPr>
              <w:t>避免在同一地点安排大量动力机械设备，以避免局部声级过高。</w:t>
            </w:r>
          </w:p>
          <w:p w14:paraId="630365E8">
            <w:pPr>
              <w:keepNext w:val="0"/>
              <w:keepLines w:val="0"/>
              <w:pageBreakBefore w:val="0"/>
              <w:widowControl w:val="0"/>
              <w:suppressLineNumbers w:val="0"/>
              <w:wordWrap/>
              <w:topLinePunct w:val="0"/>
              <w:bidi w:val="0"/>
              <w:spacing w:line="360" w:lineRule="auto"/>
              <w:ind w:firstLine="480" w:firstLineChars="200"/>
              <w:jc w:val="left"/>
              <w:rPr>
                <w:rFonts w:hint="default" w:ascii="Times New Roman" w:hAnsi="Times New Roman" w:eastAsia="宋体" w:cs="Times New Roman"/>
                <w:color w:val="auto"/>
                <w:sz w:val="24"/>
                <w:highlight w:val="none"/>
                <w:lang w:eastAsia="zh-CN"/>
              </w:rPr>
            </w:pPr>
            <w:r>
              <w:rPr>
                <w:rFonts w:hint="eastAsia" w:eastAsia="宋体" w:cs="Times New Roman"/>
                <w:color w:val="auto"/>
                <w:sz w:val="24"/>
                <w:highlight w:val="none"/>
                <w:lang w:eastAsia="zh-CN"/>
              </w:rPr>
              <w:t>（</w:t>
            </w:r>
            <w:r>
              <w:rPr>
                <w:rFonts w:hint="eastAsia" w:eastAsia="宋体" w:cs="Times New Roman"/>
                <w:color w:val="auto"/>
                <w:sz w:val="24"/>
                <w:highlight w:val="none"/>
                <w:lang w:val="en-US" w:eastAsia="zh-CN"/>
              </w:rPr>
              <w:t>2</w:t>
            </w:r>
            <w:r>
              <w:rPr>
                <w:rFonts w:hint="eastAsia" w:eastAsia="宋体"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采用低噪声施工设备。</w:t>
            </w:r>
          </w:p>
          <w:p w14:paraId="4357DB83">
            <w:pPr>
              <w:keepNext w:val="0"/>
              <w:keepLines w:val="0"/>
              <w:pageBreakBefore w:val="0"/>
              <w:widowControl w:val="0"/>
              <w:suppressLineNumbers w:val="0"/>
              <w:wordWrap/>
              <w:topLinePunct w:val="0"/>
              <w:bidi w:val="0"/>
              <w:spacing w:line="360" w:lineRule="auto"/>
              <w:ind w:firstLine="480" w:firstLineChars="200"/>
              <w:jc w:val="left"/>
              <w:rPr>
                <w:rFonts w:hint="default" w:ascii="Times New Roman" w:hAnsi="Times New Roman" w:eastAsia="宋体" w:cs="Times New Roman"/>
                <w:color w:val="auto"/>
                <w:sz w:val="24"/>
                <w:highlight w:val="none"/>
                <w:lang w:eastAsia="zh-CN"/>
              </w:rPr>
            </w:pPr>
            <w:r>
              <w:rPr>
                <w:rFonts w:hint="eastAsia" w:eastAsia="宋体" w:cs="Times New Roman"/>
                <w:color w:val="auto"/>
                <w:sz w:val="24"/>
                <w:highlight w:val="none"/>
                <w:lang w:eastAsia="zh-CN"/>
              </w:rPr>
              <w:t>（</w:t>
            </w:r>
            <w:r>
              <w:rPr>
                <w:rFonts w:hint="eastAsia" w:eastAsia="宋体" w:cs="Times New Roman"/>
                <w:color w:val="auto"/>
                <w:sz w:val="24"/>
                <w:highlight w:val="none"/>
                <w:lang w:val="en-US" w:eastAsia="zh-CN"/>
              </w:rPr>
              <w:t>3</w:t>
            </w:r>
            <w:r>
              <w:rPr>
                <w:rFonts w:hint="eastAsia" w:eastAsia="宋体" w:cs="Times New Roman"/>
                <w:color w:val="auto"/>
                <w:sz w:val="24"/>
                <w:highlight w:val="none"/>
                <w:lang w:eastAsia="zh-CN"/>
              </w:rPr>
              <w:t>）</w:t>
            </w:r>
            <w:r>
              <w:rPr>
                <w:rFonts w:hint="default" w:ascii="Times New Roman" w:hAnsi="Times New Roman" w:eastAsia="宋体" w:cs="Times New Roman"/>
                <w:color w:val="auto"/>
                <w:sz w:val="24"/>
                <w:highlight w:val="none"/>
              </w:rPr>
              <w:t>对动力机械设备进行定期的维修、养护，</w:t>
            </w:r>
            <w:r>
              <w:rPr>
                <w:rFonts w:hint="default" w:ascii="Times New Roman" w:hAnsi="Times New Roman" w:eastAsia="宋体" w:cs="Times New Roman"/>
                <w:color w:val="auto"/>
                <w:sz w:val="24"/>
                <w:highlight w:val="none"/>
                <w:lang w:eastAsia="zh-CN"/>
              </w:rPr>
              <w:t>避免</w:t>
            </w:r>
            <w:r>
              <w:rPr>
                <w:rFonts w:hint="default" w:ascii="Times New Roman" w:hAnsi="Times New Roman" w:eastAsia="宋体" w:cs="Times New Roman"/>
                <w:color w:val="auto"/>
                <w:sz w:val="24"/>
                <w:highlight w:val="none"/>
              </w:rPr>
              <w:t>因设备常因松动部件的</w:t>
            </w:r>
            <w:r>
              <w:rPr>
                <w:rFonts w:hint="default" w:ascii="Times New Roman" w:hAnsi="Times New Roman" w:eastAsia="宋体" w:cs="Times New Roman"/>
                <w:color w:val="auto"/>
                <w:sz w:val="24"/>
                <w:highlight w:val="none"/>
                <w:lang w:eastAsia="zh-CN"/>
              </w:rPr>
              <w:t>振动</w:t>
            </w:r>
            <w:r>
              <w:rPr>
                <w:rFonts w:hint="default" w:ascii="Times New Roman" w:hAnsi="Times New Roman" w:eastAsia="宋体" w:cs="Times New Roman"/>
                <w:color w:val="auto"/>
                <w:sz w:val="24"/>
                <w:highlight w:val="none"/>
              </w:rPr>
              <w:t>或消声器破坏而加大其工作时的声级</w:t>
            </w:r>
            <w:r>
              <w:rPr>
                <w:rFonts w:hint="default" w:ascii="Times New Roman" w:hAnsi="Times New Roman" w:eastAsia="宋体" w:cs="Times New Roman"/>
                <w:color w:val="auto"/>
                <w:sz w:val="24"/>
                <w:highlight w:val="none"/>
                <w:lang w:eastAsia="zh-CN"/>
              </w:rPr>
              <w:t>。</w:t>
            </w:r>
          </w:p>
          <w:p w14:paraId="4CD5A716">
            <w:pPr>
              <w:keepNext w:val="0"/>
              <w:keepLines w:val="0"/>
              <w:pageBreakBefore w:val="0"/>
              <w:widowControl w:val="0"/>
              <w:suppressLineNumbers w:val="0"/>
              <w:wordWrap/>
              <w:topLinePunct w:val="0"/>
              <w:bidi w:val="0"/>
              <w:spacing w:line="360" w:lineRule="auto"/>
              <w:ind w:firstLine="480" w:firstLineChars="200"/>
              <w:jc w:val="left"/>
              <w:rPr>
                <w:rFonts w:hint="default" w:ascii="Times New Roman" w:hAnsi="Times New Roman" w:eastAsia="宋体" w:cs="Times New Roman"/>
                <w:color w:val="auto"/>
                <w:sz w:val="24"/>
                <w:highlight w:val="none"/>
              </w:rPr>
            </w:pPr>
            <w:r>
              <w:rPr>
                <w:rFonts w:hint="eastAsia" w:eastAsia="宋体" w:cs="Times New Roman"/>
                <w:color w:val="auto"/>
                <w:sz w:val="24"/>
                <w:highlight w:val="none"/>
                <w:lang w:eastAsia="zh-CN"/>
              </w:rPr>
              <w:t>（</w:t>
            </w:r>
            <w:r>
              <w:rPr>
                <w:rFonts w:hint="eastAsia" w:eastAsia="宋体" w:cs="Times New Roman"/>
                <w:color w:val="auto"/>
                <w:sz w:val="24"/>
                <w:highlight w:val="none"/>
                <w:lang w:val="en-US" w:eastAsia="zh-CN"/>
              </w:rPr>
              <w:t>4</w:t>
            </w:r>
            <w:r>
              <w:rPr>
                <w:rFonts w:hint="eastAsia" w:eastAsia="宋体"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加强运输车辆管理，进出场区低速行驶，</w:t>
            </w:r>
            <w:r>
              <w:rPr>
                <w:rFonts w:hint="default" w:ascii="Times New Roman" w:hAnsi="Times New Roman" w:cs="Times New Roman"/>
                <w:color w:val="auto"/>
                <w:sz w:val="24"/>
                <w:highlight w:val="none"/>
                <w:lang w:eastAsia="zh-CN"/>
              </w:rPr>
              <w:t>禁止鸣笛。</w:t>
            </w:r>
          </w:p>
          <w:p w14:paraId="28340086">
            <w:pPr>
              <w:keepNext w:val="0"/>
              <w:keepLines w:val="0"/>
              <w:pageBreakBefore w:val="0"/>
              <w:widowControl w:val="0"/>
              <w:wordWrap/>
              <w:topLinePunct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eastAsia" w:eastAsia="宋体" w:cs="Times New Roman"/>
                <w:color w:val="auto"/>
                <w:sz w:val="24"/>
                <w:highlight w:val="none"/>
                <w:lang w:eastAsia="zh-CN"/>
              </w:rPr>
              <w:t>（</w:t>
            </w:r>
            <w:r>
              <w:rPr>
                <w:rFonts w:hint="eastAsia" w:eastAsia="宋体" w:cs="Times New Roman"/>
                <w:color w:val="auto"/>
                <w:sz w:val="24"/>
                <w:highlight w:val="none"/>
                <w:lang w:val="en-US" w:eastAsia="zh-CN"/>
              </w:rPr>
              <w:t>5</w:t>
            </w:r>
            <w:r>
              <w:rPr>
                <w:rFonts w:hint="eastAsia" w:eastAsia="宋体"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遵守作业规定，减少碰撞产生的</w:t>
            </w:r>
            <w:r>
              <w:rPr>
                <w:rFonts w:hint="default" w:ascii="Times New Roman" w:hAnsi="Times New Roman" w:cs="Times New Roman"/>
                <w:color w:val="auto"/>
                <w:sz w:val="24"/>
                <w:highlight w:val="none"/>
                <w:lang w:eastAsia="zh-CN"/>
              </w:rPr>
              <w:t>人为</w:t>
            </w:r>
            <w:r>
              <w:rPr>
                <w:rFonts w:hint="default" w:ascii="Times New Roman" w:hAnsi="Times New Roman" w:eastAsia="宋体" w:cs="Times New Roman"/>
                <w:color w:val="auto"/>
                <w:sz w:val="24"/>
                <w:highlight w:val="none"/>
                <w:lang w:eastAsia="zh-CN"/>
              </w:rPr>
              <w:t>噪声。</w:t>
            </w:r>
          </w:p>
          <w:p w14:paraId="5605A841">
            <w:pPr>
              <w:keepNext w:val="0"/>
              <w:keepLines w:val="0"/>
              <w:pageBreakBefore w:val="0"/>
              <w:widowControl w:val="0"/>
              <w:wordWrap/>
              <w:topLinePunct w:val="0"/>
              <w:bidi w:val="0"/>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本项目四周无声环境敏感点，周边较为空旷，施工设备产生的噪声通过落实上述措施后对周边环境影响较小，在可接受范围内。</w:t>
            </w:r>
          </w:p>
          <w:p w14:paraId="45DA17B2">
            <w:pPr>
              <w:keepNext w:val="0"/>
              <w:keepLines w:val="0"/>
              <w:pageBreakBefore w:val="0"/>
              <w:widowControl w:val="0"/>
              <w:numPr>
                <w:ilvl w:val="0"/>
                <w:numId w:val="0"/>
              </w:numPr>
              <w:wordWrap/>
              <w:topLinePunct w:val="0"/>
              <w:bidi w:val="0"/>
              <w:adjustRightInd w:val="0"/>
              <w:snapToGrid w:val="0"/>
              <w:spacing w:line="360" w:lineRule="auto"/>
              <w:rPr>
                <w:rFonts w:hint="default" w:ascii="Times New Roman" w:hAnsi="Times New Roman" w:cs="Times New Roman"/>
                <w:b/>
                <w:color w:val="auto"/>
                <w:sz w:val="24"/>
                <w:szCs w:val="24"/>
                <w:highlight w:val="none"/>
                <w:lang w:val="en-US" w:eastAsia="zh-CN"/>
              </w:rPr>
            </w:pPr>
            <w:r>
              <w:rPr>
                <w:rFonts w:hint="default" w:ascii="Times New Roman" w:hAnsi="Times New Roman" w:cs="Times New Roman"/>
                <w:b/>
                <w:color w:val="auto"/>
                <w:sz w:val="24"/>
                <w:szCs w:val="24"/>
                <w:highlight w:val="none"/>
                <w:lang w:val="en-US" w:eastAsia="zh-CN"/>
              </w:rPr>
              <w:t>4.</w:t>
            </w:r>
            <w:r>
              <w:rPr>
                <w:rFonts w:hint="default" w:ascii="Times New Roman" w:hAnsi="Times New Roman" w:cs="Times New Roman"/>
                <w:b/>
                <w:color w:val="auto"/>
                <w:sz w:val="24"/>
                <w:szCs w:val="24"/>
                <w:highlight w:val="none"/>
              </w:rPr>
              <w:t>固体废物</w:t>
            </w:r>
            <w:r>
              <w:rPr>
                <w:rFonts w:hint="default" w:ascii="Times New Roman" w:hAnsi="Times New Roman" w:cs="Times New Roman"/>
                <w:b/>
                <w:color w:val="auto"/>
                <w:sz w:val="24"/>
                <w:szCs w:val="24"/>
                <w:highlight w:val="none"/>
                <w:lang w:val="en-US" w:eastAsia="zh-CN"/>
              </w:rPr>
              <w:t>治理措施</w:t>
            </w:r>
          </w:p>
          <w:p w14:paraId="2CF04E93">
            <w:pPr>
              <w:keepNext w:val="0"/>
              <w:keepLines w:val="0"/>
              <w:pageBreakBefore w:val="0"/>
              <w:widowControl w:val="0"/>
              <w:wordWrap/>
              <w:topLinePunct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施工过程中产生的土石方、建筑垃圾、生活垃圾应分类集中收集、分类堆放，按国家和地方有关规定定期清运处置，施工完成后及时做好迹地清理工作，本项目</w:t>
            </w:r>
            <w:r>
              <w:rPr>
                <w:rFonts w:hint="default" w:ascii="Times New Roman" w:hAnsi="Times New Roman" w:cs="Times New Roman"/>
                <w:color w:val="auto"/>
                <w:sz w:val="24"/>
                <w:szCs w:val="24"/>
                <w:highlight w:val="none"/>
              </w:rPr>
              <w:t>土石方</w:t>
            </w:r>
            <w:r>
              <w:rPr>
                <w:rFonts w:hint="default" w:ascii="Times New Roman" w:hAnsi="Times New Roman" w:cs="Times New Roman"/>
                <w:color w:val="auto"/>
                <w:sz w:val="24"/>
                <w:szCs w:val="24"/>
                <w:highlight w:val="none"/>
                <w:lang w:val="en-US" w:eastAsia="zh-CN"/>
              </w:rPr>
              <w:t>全部用于场地平整，无</w:t>
            </w:r>
            <w:r>
              <w:rPr>
                <w:rFonts w:hint="default" w:ascii="Times New Roman" w:hAnsi="Times New Roman" w:cs="Times New Roman"/>
                <w:color w:val="auto"/>
                <w:sz w:val="24"/>
                <w:szCs w:val="24"/>
                <w:highlight w:val="none"/>
              </w:rPr>
              <w:t>弃土</w:t>
            </w:r>
            <w:r>
              <w:rPr>
                <w:rFonts w:hint="default" w:ascii="Times New Roman" w:hAnsi="Times New Roman" w:cs="Times New Roman"/>
                <w:color w:val="auto"/>
                <w:sz w:val="24"/>
                <w:szCs w:val="24"/>
                <w:highlight w:val="none"/>
                <w:lang w:val="en-US" w:eastAsia="zh-CN"/>
              </w:rPr>
              <w:t>产生</w:t>
            </w:r>
            <w:r>
              <w:rPr>
                <w:rFonts w:hint="default" w:ascii="Times New Roman" w:hAnsi="Times New Roman" w:cs="Times New Roman"/>
                <w:color w:val="auto"/>
                <w:sz w:val="24"/>
                <w:szCs w:val="24"/>
                <w:highlight w:val="none"/>
              </w:rPr>
              <w:t>。</w:t>
            </w:r>
          </w:p>
          <w:p w14:paraId="1A63A1B2">
            <w:pPr>
              <w:keepNext w:val="0"/>
              <w:keepLines w:val="0"/>
              <w:pageBreakBefore w:val="0"/>
              <w:widowControl w:val="0"/>
              <w:wordWrap/>
              <w:topLinePunct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建筑垃圾能回收的回收利用，不能回收利用的集中拉运至当地政府指定建筑垃圾填埋场填埋。</w:t>
            </w:r>
          </w:p>
          <w:p w14:paraId="2D9E059A">
            <w:pPr>
              <w:keepNext w:val="0"/>
              <w:keepLines w:val="0"/>
              <w:pageBreakBefore w:val="0"/>
              <w:widowControl w:val="0"/>
              <w:wordWrap/>
              <w:topLinePunct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生活垃圾集中收集后，</w:t>
            </w:r>
            <w:r>
              <w:rPr>
                <w:rFonts w:hint="default" w:ascii="Times New Roman" w:hAnsi="Times New Roman" w:eastAsia="宋体" w:cs="Times New Roman"/>
                <w:color w:val="auto"/>
                <w:sz w:val="24"/>
                <w:highlight w:val="none"/>
                <w:lang w:val="en-US" w:eastAsia="zh-CN"/>
              </w:rPr>
              <w:t>定期自行清运至</w:t>
            </w:r>
            <w:r>
              <w:rPr>
                <w:rFonts w:hint="eastAsia" w:ascii="Times New Roman" w:hAnsi="Times New Roman" w:eastAsia="宋体" w:cs="Times New Roman"/>
                <w:color w:val="auto"/>
                <w:sz w:val="24"/>
                <w:highlight w:val="none"/>
                <w:lang w:val="en-US" w:eastAsia="zh-CN"/>
              </w:rPr>
              <w:t>附近</w:t>
            </w:r>
            <w:r>
              <w:rPr>
                <w:rFonts w:hint="default" w:ascii="Times New Roman" w:hAnsi="Times New Roman" w:eastAsia="宋体" w:cs="Times New Roman"/>
                <w:color w:val="auto"/>
                <w:sz w:val="24"/>
                <w:highlight w:val="none"/>
                <w:lang w:val="en-US" w:eastAsia="zh-CN"/>
              </w:rPr>
              <w:t>垃圾转运站</w:t>
            </w:r>
            <w:r>
              <w:rPr>
                <w:rFonts w:hint="eastAsia" w:eastAsia="宋体" w:cs="Times New Roman"/>
                <w:color w:val="auto"/>
                <w:sz w:val="24"/>
                <w:highlight w:val="none"/>
                <w:lang w:val="en-US" w:eastAsia="zh-CN"/>
              </w:rPr>
              <w:t>。</w:t>
            </w:r>
          </w:p>
          <w:p w14:paraId="7A605590">
            <w:pPr>
              <w:keepNext w:val="0"/>
              <w:keepLines w:val="0"/>
              <w:pageBreakBefore w:val="0"/>
              <w:widowControl w:val="0"/>
              <w:wordWrap/>
              <w:topLinePunct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val="en-US" w:eastAsia="zh-CN"/>
              </w:rPr>
              <w:t>施工完毕后及时对扰动地表进行平整恢复，以减少水土流失。</w:t>
            </w:r>
          </w:p>
          <w:p w14:paraId="2C8EC722">
            <w:pPr>
              <w:keepNext w:val="0"/>
              <w:keepLines w:val="0"/>
              <w:pageBreakBefore w:val="0"/>
              <w:widowControl w:val="0"/>
              <w:wordWrap/>
              <w:topLinePunct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综上所述，施工期产生的固体废物均得到妥善</w:t>
            </w:r>
            <w:r>
              <w:rPr>
                <w:rFonts w:hint="eastAsia" w:eastAsia="宋体" w:cs="Times New Roman"/>
                <w:color w:val="auto"/>
                <w:sz w:val="24"/>
                <w:highlight w:val="none"/>
                <w:lang w:val="en-US" w:eastAsia="zh-CN"/>
              </w:rPr>
              <w:t>处理</w:t>
            </w:r>
            <w:r>
              <w:rPr>
                <w:rFonts w:hint="default" w:ascii="Times New Roman" w:hAnsi="Times New Roman" w:eastAsia="宋体" w:cs="Times New Roman"/>
                <w:color w:val="auto"/>
                <w:sz w:val="24"/>
                <w:highlight w:val="none"/>
                <w:lang w:val="en-US" w:eastAsia="zh-CN"/>
              </w:rPr>
              <w:t>处置，对周边环境影响较小。</w:t>
            </w:r>
          </w:p>
          <w:p w14:paraId="563FDA47">
            <w:pPr>
              <w:keepNext w:val="0"/>
              <w:keepLines w:val="0"/>
              <w:pageBreakBefore w:val="0"/>
              <w:widowControl w:val="0"/>
              <w:wordWrap/>
              <w:topLinePunct w:val="0"/>
              <w:bidi w:val="0"/>
              <w:adjustRightInd w:val="0"/>
              <w:snapToGrid w:val="0"/>
              <w:spacing w:line="360" w:lineRule="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5.生态保护措施</w:t>
            </w:r>
          </w:p>
          <w:p w14:paraId="4D869F31">
            <w:pPr>
              <w:keepNext w:val="0"/>
              <w:keepLines w:val="0"/>
              <w:pageBreakBefore w:val="0"/>
              <w:widowControl w:val="0"/>
              <w:wordWrap/>
              <w:topLinePunct w:val="0"/>
              <w:bidi w:val="0"/>
              <w:adjustRightInd w:val="0"/>
              <w:snapToGrid w:val="0"/>
              <w:spacing w:line="360" w:lineRule="auto"/>
              <w:ind w:firstLine="480" w:firstLineChars="200"/>
              <w:rPr>
                <w:rFonts w:hint="eastAsia" w:ascii="Times New Roman" w:hAnsi="Times New Roman" w:eastAsia="宋体"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rPr>
              <w:t>为保护生态环境，减少施工占地对生态的破坏，施工期间应采取以下生态保护和恢复措施：</w:t>
            </w:r>
          </w:p>
          <w:p w14:paraId="28FA0650">
            <w:pPr>
              <w:keepNext w:val="0"/>
              <w:keepLines w:val="0"/>
              <w:pageBreakBefore w:val="0"/>
              <w:widowControl w:val="0"/>
              <w:wordWrap/>
              <w:topLinePunct w:val="0"/>
              <w:bidi w:val="0"/>
              <w:adjustRightInd w:val="0"/>
              <w:snapToGrid w:val="0"/>
              <w:spacing w:line="360" w:lineRule="auto"/>
              <w:ind w:firstLine="480" w:firstLineChars="200"/>
              <w:rPr>
                <w:rFonts w:hint="eastAsia" w:ascii="Times New Roman" w:hAnsi="Times New Roman" w:eastAsia="宋体" w:cs="Times New Roman"/>
                <w:b w:val="0"/>
                <w:bCs w:val="0"/>
                <w:color w:val="auto"/>
                <w:sz w:val="24"/>
                <w:szCs w:val="24"/>
                <w:highlight w:val="none"/>
                <w:lang w:eastAsia="zh-CN"/>
              </w:rPr>
            </w:pPr>
            <w:r>
              <w:rPr>
                <w:rFonts w:hint="eastAsia" w:cs="Times New Roman"/>
                <w:b w:val="0"/>
                <w:bCs w:val="0"/>
                <w:color w:val="auto"/>
                <w:sz w:val="24"/>
                <w:szCs w:val="24"/>
                <w:highlight w:val="none"/>
                <w:lang w:eastAsia="zh-CN"/>
              </w:rPr>
              <w:t>（</w:t>
            </w:r>
            <w:r>
              <w:rPr>
                <w:rFonts w:hint="eastAsia" w:cs="Times New Roman"/>
                <w:b w:val="0"/>
                <w:bCs w:val="0"/>
                <w:color w:val="auto"/>
                <w:sz w:val="24"/>
                <w:szCs w:val="24"/>
                <w:highlight w:val="none"/>
                <w:lang w:val="en-US" w:eastAsia="zh-CN"/>
              </w:rPr>
              <w:t>1</w:t>
            </w:r>
            <w:r>
              <w:rPr>
                <w:rFonts w:hint="eastAsia"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lang w:eastAsia="zh-CN"/>
              </w:rPr>
              <w:t>合理施工布置，</w:t>
            </w:r>
            <w:r>
              <w:rPr>
                <w:rFonts w:hint="default" w:ascii="Times New Roman" w:hAnsi="Times New Roman" w:cs="Times New Roman"/>
                <w:color w:val="auto"/>
                <w:sz w:val="24"/>
                <w:highlight w:val="none"/>
              </w:rPr>
              <w:t>严格控制施工区域，</w:t>
            </w:r>
            <w:r>
              <w:rPr>
                <w:rFonts w:hint="default" w:ascii="Times New Roman" w:hAnsi="Times New Roman" w:cs="Times New Roman"/>
                <w:b w:val="0"/>
                <w:bCs w:val="0"/>
                <w:color w:val="auto"/>
                <w:sz w:val="24"/>
                <w:szCs w:val="24"/>
                <w:highlight w:val="none"/>
              </w:rPr>
              <w:t>将施工作业机械和人员活动范围限制在作业带范围内，尽量减少施工破坏</w:t>
            </w:r>
            <w:r>
              <w:rPr>
                <w:rFonts w:hint="eastAsia" w:ascii="Times New Roman" w:hAnsi="Times New Roman" w:cs="Times New Roman"/>
                <w:b w:val="0"/>
                <w:bCs w:val="0"/>
                <w:color w:val="auto"/>
                <w:sz w:val="24"/>
                <w:szCs w:val="24"/>
                <w:highlight w:val="none"/>
                <w:lang w:val="en-US" w:eastAsia="zh-CN"/>
              </w:rPr>
              <w:t>项目区地表环境。</w:t>
            </w:r>
          </w:p>
          <w:p w14:paraId="0AD15970">
            <w:pPr>
              <w:keepNext w:val="0"/>
              <w:keepLines w:val="0"/>
              <w:pageBreakBefore w:val="0"/>
              <w:widowControl w:val="0"/>
              <w:wordWrap/>
              <w:topLinePunct w:val="0"/>
              <w:bidi w:val="0"/>
              <w:adjustRightInd w:val="0"/>
              <w:snapToGrid w:val="0"/>
              <w:spacing w:line="360" w:lineRule="auto"/>
              <w:ind w:firstLine="456" w:firstLineChars="200"/>
              <w:rPr>
                <w:rFonts w:hint="eastAsia" w:ascii="Times New Roman" w:hAnsi="Times New Roman" w:eastAsia="宋体" w:cs="Times New Roman"/>
                <w:b w:val="0"/>
                <w:bCs w:val="0"/>
                <w:color w:val="auto"/>
                <w:spacing w:val="-6"/>
                <w:sz w:val="24"/>
                <w:szCs w:val="24"/>
                <w:highlight w:val="none"/>
                <w:lang w:eastAsia="zh-CN"/>
              </w:rPr>
            </w:pPr>
            <w:r>
              <w:rPr>
                <w:rFonts w:hint="eastAsia" w:cs="Times New Roman"/>
                <w:b w:val="0"/>
                <w:bCs w:val="0"/>
                <w:color w:val="auto"/>
                <w:spacing w:val="-6"/>
                <w:sz w:val="24"/>
                <w:szCs w:val="24"/>
                <w:highlight w:val="none"/>
                <w:lang w:eastAsia="zh-CN"/>
              </w:rPr>
              <w:t>（</w:t>
            </w:r>
            <w:r>
              <w:rPr>
                <w:rFonts w:hint="eastAsia" w:cs="Times New Roman"/>
                <w:b w:val="0"/>
                <w:bCs w:val="0"/>
                <w:color w:val="auto"/>
                <w:spacing w:val="-6"/>
                <w:sz w:val="24"/>
                <w:szCs w:val="24"/>
                <w:highlight w:val="none"/>
                <w:lang w:val="en-US" w:eastAsia="zh-CN"/>
              </w:rPr>
              <w:t>2</w:t>
            </w:r>
            <w:r>
              <w:rPr>
                <w:rFonts w:hint="eastAsia" w:cs="Times New Roman"/>
                <w:b w:val="0"/>
                <w:bCs w:val="0"/>
                <w:color w:val="auto"/>
                <w:spacing w:val="-6"/>
                <w:sz w:val="24"/>
                <w:szCs w:val="24"/>
                <w:highlight w:val="none"/>
                <w:lang w:eastAsia="zh-CN"/>
              </w:rPr>
              <w:t>）</w:t>
            </w:r>
            <w:r>
              <w:rPr>
                <w:rFonts w:hint="default" w:ascii="Times New Roman" w:hAnsi="Times New Roman" w:cs="Times New Roman"/>
                <w:b w:val="0"/>
                <w:bCs w:val="0"/>
                <w:color w:val="auto"/>
                <w:spacing w:val="-6"/>
                <w:sz w:val="24"/>
                <w:szCs w:val="24"/>
                <w:highlight w:val="none"/>
              </w:rPr>
              <w:t>进场道路进行</w:t>
            </w:r>
            <w:r>
              <w:rPr>
                <w:rFonts w:hint="default" w:ascii="Times New Roman" w:hAnsi="Times New Roman" w:cs="Times New Roman"/>
                <w:b w:val="0"/>
                <w:bCs w:val="0"/>
                <w:color w:val="auto"/>
                <w:spacing w:val="-6"/>
                <w:sz w:val="24"/>
                <w:szCs w:val="24"/>
                <w:highlight w:val="none"/>
                <w:lang w:eastAsia="zh-CN"/>
              </w:rPr>
              <w:t>地面</w:t>
            </w:r>
            <w:r>
              <w:rPr>
                <w:rFonts w:hint="default" w:ascii="Times New Roman" w:hAnsi="Times New Roman" w:cs="Times New Roman"/>
                <w:b w:val="0"/>
                <w:bCs w:val="0"/>
                <w:color w:val="auto"/>
                <w:spacing w:val="-6"/>
                <w:sz w:val="24"/>
                <w:szCs w:val="24"/>
                <w:highlight w:val="none"/>
              </w:rPr>
              <w:t>硬化</w:t>
            </w:r>
            <w:r>
              <w:rPr>
                <w:rFonts w:hint="default" w:ascii="Times New Roman" w:hAnsi="Times New Roman" w:cs="Times New Roman"/>
                <w:b w:val="0"/>
                <w:bCs w:val="0"/>
                <w:color w:val="auto"/>
                <w:spacing w:val="-6"/>
                <w:sz w:val="24"/>
                <w:szCs w:val="24"/>
                <w:highlight w:val="none"/>
                <w:lang w:eastAsia="zh-CN"/>
              </w:rPr>
              <w:t>，</w:t>
            </w:r>
            <w:r>
              <w:rPr>
                <w:rFonts w:hint="default" w:ascii="Times New Roman" w:hAnsi="Times New Roman" w:cs="Times New Roman"/>
                <w:b w:val="0"/>
                <w:bCs w:val="0"/>
                <w:color w:val="auto"/>
                <w:spacing w:val="-6"/>
                <w:sz w:val="24"/>
                <w:szCs w:val="24"/>
                <w:highlight w:val="none"/>
              </w:rPr>
              <w:t>严格控制施工车辆行驶路线，严禁随意驶入用地范围外</w:t>
            </w:r>
            <w:r>
              <w:rPr>
                <w:rFonts w:hint="default" w:ascii="Times New Roman" w:hAnsi="Times New Roman" w:cs="Times New Roman"/>
                <w:b w:val="0"/>
                <w:bCs w:val="0"/>
                <w:color w:val="auto"/>
                <w:spacing w:val="-6"/>
                <w:sz w:val="24"/>
                <w:szCs w:val="24"/>
                <w:highlight w:val="none"/>
                <w:lang w:eastAsia="zh-CN"/>
              </w:rPr>
              <w:t>，减少对周围</w:t>
            </w:r>
            <w:r>
              <w:rPr>
                <w:rFonts w:hint="eastAsia" w:ascii="Times New Roman" w:hAnsi="Times New Roman" w:cs="Times New Roman"/>
                <w:color w:val="auto"/>
                <w:spacing w:val="-6"/>
                <w:sz w:val="24"/>
                <w:szCs w:val="24"/>
                <w:highlight w:val="none"/>
                <w:lang w:val="en-US" w:eastAsia="zh-CN"/>
              </w:rPr>
              <w:t>地表</w:t>
            </w:r>
            <w:r>
              <w:rPr>
                <w:rFonts w:hint="default" w:ascii="Times New Roman" w:hAnsi="Times New Roman" w:cs="Times New Roman"/>
                <w:color w:val="auto"/>
                <w:spacing w:val="-6"/>
                <w:sz w:val="24"/>
                <w:szCs w:val="24"/>
                <w:highlight w:val="none"/>
                <w:lang w:val="en-US" w:eastAsia="zh-CN"/>
              </w:rPr>
              <w:t>的破坏，防止产生新的扬尘及水土流失</w:t>
            </w:r>
            <w:r>
              <w:rPr>
                <w:rFonts w:hint="default" w:ascii="Times New Roman" w:hAnsi="Times New Roman" w:cs="Times New Roman"/>
                <w:b w:val="0"/>
                <w:bCs w:val="0"/>
                <w:color w:val="auto"/>
                <w:spacing w:val="-6"/>
                <w:sz w:val="24"/>
                <w:szCs w:val="24"/>
                <w:highlight w:val="none"/>
                <w:lang w:eastAsia="zh-CN"/>
              </w:rPr>
              <w:t>。</w:t>
            </w:r>
          </w:p>
          <w:p w14:paraId="1F29FB87">
            <w:pPr>
              <w:keepNext w:val="0"/>
              <w:keepLines w:val="0"/>
              <w:pageBreakBefore w:val="0"/>
              <w:widowControl w:val="0"/>
              <w:wordWrap/>
              <w:topLinePunct w:val="0"/>
              <w:bidi w:val="0"/>
              <w:adjustRightInd w:val="0"/>
              <w:snapToGrid w:val="0"/>
              <w:spacing w:line="360" w:lineRule="auto"/>
              <w:ind w:firstLine="480" w:firstLineChars="200"/>
              <w:rPr>
                <w:rFonts w:hint="eastAsia" w:ascii="Times New Roman" w:hAnsi="Times New Roman" w:eastAsia="宋体" w:cs="Times New Roman"/>
                <w:b w:val="0"/>
                <w:bCs w:val="0"/>
                <w:color w:val="auto"/>
                <w:sz w:val="24"/>
                <w:szCs w:val="24"/>
                <w:highlight w:val="none"/>
                <w:lang w:eastAsia="zh-CN"/>
              </w:rPr>
            </w:pPr>
            <w:r>
              <w:rPr>
                <w:rFonts w:hint="eastAsia" w:cs="Times New Roman"/>
                <w:b w:val="0"/>
                <w:bCs w:val="0"/>
                <w:color w:val="auto"/>
                <w:sz w:val="24"/>
                <w:szCs w:val="24"/>
                <w:highlight w:val="none"/>
                <w:lang w:eastAsia="zh-CN"/>
              </w:rPr>
              <w:t>（</w:t>
            </w:r>
            <w:r>
              <w:rPr>
                <w:rFonts w:hint="eastAsia" w:cs="Times New Roman"/>
                <w:b w:val="0"/>
                <w:bCs w:val="0"/>
                <w:color w:val="auto"/>
                <w:sz w:val="24"/>
                <w:szCs w:val="24"/>
                <w:highlight w:val="none"/>
                <w:lang w:val="en-US" w:eastAsia="zh-CN"/>
              </w:rPr>
              <w:t>3</w:t>
            </w:r>
            <w:r>
              <w:rPr>
                <w:rFonts w:hint="eastAsia"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rPr>
              <w:t>尽量减少大型机械施工，基础开挖后，尽快浇筑混凝土</w:t>
            </w:r>
            <w:r>
              <w:rPr>
                <w:rFonts w:hint="eastAsia" w:ascii="Times New Roman" w:hAnsi="Times New Roman" w:cs="Times New Roman"/>
                <w:b w:val="0"/>
                <w:bCs w:val="0"/>
                <w:color w:val="auto"/>
                <w:sz w:val="24"/>
                <w:szCs w:val="24"/>
                <w:highlight w:val="none"/>
                <w:lang w:val="en-US" w:eastAsia="zh-CN"/>
              </w:rPr>
              <w:t>并</w:t>
            </w:r>
            <w:r>
              <w:rPr>
                <w:rFonts w:hint="default" w:ascii="Times New Roman" w:hAnsi="Times New Roman" w:cs="Times New Roman"/>
                <w:b w:val="0"/>
                <w:bCs w:val="0"/>
                <w:color w:val="auto"/>
                <w:sz w:val="24"/>
                <w:szCs w:val="24"/>
                <w:highlight w:val="none"/>
              </w:rPr>
              <w:t>及时回填，缩短裸露时间，减少扬尘</w:t>
            </w:r>
            <w:r>
              <w:rPr>
                <w:rFonts w:hint="default" w:ascii="Times New Roman" w:hAnsi="Times New Roman" w:cs="Times New Roman"/>
                <w:b w:val="0"/>
                <w:bCs w:val="0"/>
                <w:color w:val="auto"/>
                <w:sz w:val="24"/>
                <w:szCs w:val="24"/>
                <w:highlight w:val="none"/>
                <w:lang w:eastAsia="zh-CN"/>
              </w:rPr>
              <w:t>及水土流失。</w:t>
            </w:r>
          </w:p>
          <w:p w14:paraId="1D7B238E">
            <w:pPr>
              <w:keepNext w:val="0"/>
              <w:keepLines w:val="0"/>
              <w:pageBreakBefore w:val="0"/>
              <w:widowControl w:val="0"/>
              <w:wordWrap/>
              <w:topLinePunct w:val="0"/>
              <w:bidi w:val="0"/>
              <w:adjustRightInd w:val="0"/>
              <w:snapToGrid w:val="0"/>
              <w:spacing w:line="360" w:lineRule="auto"/>
              <w:ind w:firstLine="480" w:firstLineChars="200"/>
              <w:rPr>
                <w:rFonts w:hint="eastAsia" w:ascii="Times New Roman" w:hAnsi="Times New Roman" w:eastAsia="宋体" w:cs="Times New Roman"/>
                <w:b w:val="0"/>
                <w:bCs w:val="0"/>
                <w:color w:val="auto"/>
                <w:sz w:val="24"/>
                <w:szCs w:val="24"/>
                <w:highlight w:val="none"/>
                <w:lang w:eastAsia="zh-CN"/>
              </w:rPr>
            </w:pPr>
            <w:r>
              <w:rPr>
                <w:rFonts w:hint="eastAsia" w:cs="Times New Roman"/>
                <w:b w:val="0"/>
                <w:bCs w:val="0"/>
                <w:color w:val="auto"/>
                <w:sz w:val="24"/>
                <w:szCs w:val="24"/>
                <w:highlight w:val="none"/>
                <w:lang w:eastAsia="zh-CN"/>
              </w:rPr>
              <w:t>（</w:t>
            </w:r>
            <w:r>
              <w:rPr>
                <w:rFonts w:hint="eastAsia" w:cs="Times New Roman"/>
                <w:b w:val="0"/>
                <w:bCs w:val="0"/>
                <w:color w:val="auto"/>
                <w:sz w:val="24"/>
                <w:szCs w:val="24"/>
                <w:highlight w:val="none"/>
                <w:lang w:val="en-US" w:eastAsia="zh-CN"/>
              </w:rPr>
              <w:t>4</w:t>
            </w:r>
            <w:r>
              <w:rPr>
                <w:rFonts w:hint="eastAsia"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rPr>
              <w:t>在施工中要合理组织材料的拉运，安排施工进度，避免</w:t>
            </w:r>
            <w:r>
              <w:rPr>
                <w:rFonts w:hint="default" w:ascii="Times New Roman" w:hAnsi="Times New Roman" w:cs="Times New Roman"/>
                <w:b w:val="0"/>
                <w:bCs w:val="0"/>
                <w:color w:val="auto"/>
                <w:sz w:val="24"/>
                <w:szCs w:val="24"/>
                <w:highlight w:val="none"/>
                <w:lang w:eastAsia="zh-CN"/>
              </w:rPr>
              <w:t>材料</w:t>
            </w:r>
            <w:r>
              <w:rPr>
                <w:rFonts w:hint="default" w:ascii="Times New Roman" w:hAnsi="Times New Roman" w:cs="Times New Roman"/>
                <w:b w:val="0"/>
                <w:bCs w:val="0"/>
                <w:color w:val="auto"/>
                <w:sz w:val="24"/>
                <w:szCs w:val="24"/>
                <w:highlight w:val="none"/>
              </w:rPr>
              <w:t>堆放造成沙土飞扬，影响区域环境质量</w:t>
            </w:r>
            <w:r>
              <w:rPr>
                <w:rFonts w:hint="default" w:ascii="Times New Roman" w:hAnsi="Times New Roman" w:cs="Times New Roman"/>
                <w:b w:val="0"/>
                <w:bCs w:val="0"/>
                <w:color w:val="auto"/>
                <w:sz w:val="24"/>
                <w:szCs w:val="24"/>
                <w:highlight w:val="none"/>
                <w:lang w:eastAsia="zh-CN"/>
              </w:rPr>
              <w:t>。</w:t>
            </w:r>
          </w:p>
          <w:p w14:paraId="519F66C1">
            <w:pPr>
              <w:keepNext w:val="0"/>
              <w:keepLines w:val="0"/>
              <w:pageBreakBefore w:val="0"/>
              <w:widowControl w:val="0"/>
              <w:wordWrap/>
              <w:topLinePunct w:val="0"/>
              <w:bidi w:val="0"/>
              <w:adjustRightInd w:val="0"/>
              <w:snapToGrid w:val="0"/>
              <w:spacing w:line="360" w:lineRule="auto"/>
              <w:ind w:firstLine="480" w:firstLineChars="200"/>
              <w:rPr>
                <w:rFonts w:hint="eastAsia" w:ascii="Times New Roman" w:hAnsi="Times New Roman" w:eastAsia="宋体" w:cs="Times New Roman"/>
                <w:b w:val="0"/>
                <w:bCs w:val="0"/>
                <w:color w:val="auto"/>
                <w:sz w:val="24"/>
                <w:szCs w:val="24"/>
                <w:highlight w:val="none"/>
                <w:lang w:eastAsia="zh-CN"/>
              </w:rPr>
            </w:pPr>
            <w:r>
              <w:rPr>
                <w:rFonts w:hint="eastAsia" w:cs="Times New Roman"/>
                <w:b w:val="0"/>
                <w:bCs w:val="0"/>
                <w:color w:val="auto"/>
                <w:sz w:val="24"/>
                <w:szCs w:val="24"/>
                <w:highlight w:val="none"/>
                <w:lang w:eastAsia="zh-CN"/>
              </w:rPr>
              <w:t>（</w:t>
            </w:r>
            <w:r>
              <w:rPr>
                <w:rFonts w:hint="eastAsia" w:cs="Times New Roman"/>
                <w:b w:val="0"/>
                <w:bCs w:val="0"/>
                <w:color w:val="auto"/>
                <w:sz w:val="24"/>
                <w:szCs w:val="24"/>
                <w:highlight w:val="none"/>
                <w:lang w:val="en-US" w:eastAsia="zh-CN"/>
              </w:rPr>
              <w:t>5</w:t>
            </w:r>
            <w:r>
              <w:rPr>
                <w:rFonts w:hint="eastAsia" w:cs="Times New Roman"/>
                <w:b w:val="0"/>
                <w:bCs w:val="0"/>
                <w:color w:val="auto"/>
                <w:sz w:val="24"/>
                <w:szCs w:val="24"/>
                <w:highlight w:val="none"/>
                <w:lang w:eastAsia="zh-CN"/>
              </w:rPr>
              <w:t>）</w:t>
            </w:r>
            <w:r>
              <w:rPr>
                <w:rFonts w:hint="default" w:ascii="Times New Roman" w:hAnsi="Times New Roman" w:cs="Times New Roman"/>
                <w:color w:val="auto"/>
                <w:sz w:val="24"/>
                <w:highlight w:val="none"/>
              </w:rPr>
              <w:t>做好</w:t>
            </w:r>
            <w:r>
              <w:rPr>
                <w:rFonts w:hint="default" w:ascii="Times New Roman" w:hAnsi="Times New Roman" w:cs="Times New Roman"/>
                <w:color w:val="auto"/>
                <w:sz w:val="24"/>
                <w:highlight w:val="none"/>
                <w:lang w:eastAsia="zh-CN"/>
              </w:rPr>
              <w:t>土</w:t>
            </w:r>
            <w:r>
              <w:rPr>
                <w:rFonts w:hint="default" w:ascii="Times New Roman" w:hAnsi="Times New Roman" w:cs="Times New Roman"/>
                <w:color w:val="auto"/>
                <w:sz w:val="24"/>
                <w:highlight w:val="none"/>
              </w:rPr>
              <w:t>石方</w:t>
            </w:r>
            <w:r>
              <w:rPr>
                <w:rFonts w:hint="default" w:ascii="Times New Roman" w:hAnsi="Times New Roman" w:cs="Times New Roman"/>
                <w:color w:val="auto"/>
                <w:sz w:val="24"/>
                <w:highlight w:val="none"/>
                <w:lang w:eastAsia="zh-CN"/>
              </w:rPr>
              <w:t>的</w:t>
            </w:r>
            <w:r>
              <w:rPr>
                <w:rFonts w:hint="default" w:ascii="Times New Roman" w:hAnsi="Times New Roman" w:cs="Times New Roman"/>
                <w:color w:val="auto"/>
                <w:sz w:val="24"/>
                <w:highlight w:val="none"/>
              </w:rPr>
              <w:t>平衡工作</w:t>
            </w:r>
            <w:r>
              <w:rPr>
                <w:rFonts w:hint="default" w:ascii="Times New Roman" w:hAnsi="Times New Roman" w:cs="Times New Roman"/>
                <w:color w:val="auto"/>
                <w:sz w:val="24"/>
                <w:highlight w:val="none"/>
                <w:lang w:eastAsia="zh-CN"/>
              </w:rPr>
              <w:t>，</w:t>
            </w:r>
            <w:r>
              <w:rPr>
                <w:rFonts w:hint="default" w:ascii="Times New Roman" w:hAnsi="Times New Roman" w:cs="Times New Roman"/>
                <w:b w:val="0"/>
                <w:bCs w:val="0"/>
                <w:color w:val="auto"/>
                <w:sz w:val="24"/>
                <w:szCs w:val="24"/>
                <w:highlight w:val="none"/>
              </w:rPr>
              <w:t>在场内道路及</w:t>
            </w:r>
            <w:r>
              <w:rPr>
                <w:rFonts w:hint="eastAsia" w:ascii="Times New Roman" w:hAnsi="Times New Roman" w:cs="Times New Roman"/>
                <w:b w:val="0"/>
                <w:bCs w:val="0"/>
                <w:color w:val="auto"/>
                <w:sz w:val="24"/>
                <w:szCs w:val="24"/>
                <w:highlight w:val="none"/>
                <w:lang w:val="en-US" w:eastAsia="zh-CN"/>
              </w:rPr>
              <w:t>进场</w:t>
            </w:r>
            <w:r>
              <w:rPr>
                <w:rFonts w:hint="default" w:ascii="Times New Roman" w:hAnsi="Times New Roman" w:cs="Times New Roman"/>
                <w:b w:val="0"/>
                <w:bCs w:val="0"/>
                <w:color w:val="auto"/>
                <w:sz w:val="24"/>
                <w:szCs w:val="24"/>
                <w:highlight w:val="none"/>
              </w:rPr>
              <w:t>道路修筑中，应尽量使用施工弃土，以避免各分散施工场地弃土随意堆放</w:t>
            </w: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rPr>
              <w:t>弃土全部用于就地平整</w:t>
            </w:r>
            <w:r>
              <w:rPr>
                <w:rFonts w:hint="default" w:ascii="Times New Roman" w:hAnsi="Times New Roman" w:cs="Times New Roman"/>
                <w:b w:val="0"/>
                <w:bCs w:val="0"/>
                <w:color w:val="auto"/>
                <w:sz w:val="24"/>
                <w:szCs w:val="24"/>
                <w:highlight w:val="none"/>
                <w:lang w:eastAsia="zh-CN"/>
              </w:rPr>
              <w:t>。</w:t>
            </w:r>
          </w:p>
          <w:p w14:paraId="2D252C39">
            <w:pPr>
              <w:keepNext w:val="0"/>
              <w:keepLines w:val="0"/>
              <w:pageBreakBefore w:val="0"/>
              <w:widowControl w:val="0"/>
              <w:wordWrap/>
              <w:topLinePunct w:val="0"/>
              <w:bidi w:val="0"/>
              <w:adjustRightInd w:val="0"/>
              <w:snapToGrid w:val="0"/>
              <w:spacing w:line="360" w:lineRule="auto"/>
              <w:ind w:firstLine="480" w:firstLineChars="200"/>
              <w:rPr>
                <w:rFonts w:hint="default" w:ascii="Times New Roman" w:hAnsi="Times New Roman" w:eastAsia="宋体" w:cs="Times New Roman"/>
                <w:b w:val="0"/>
                <w:bCs w:val="0"/>
                <w:color w:val="auto"/>
                <w:sz w:val="24"/>
                <w:szCs w:val="24"/>
                <w:highlight w:val="none"/>
              </w:rPr>
            </w:pPr>
            <w:r>
              <w:rPr>
                <w:rFonts w:hint="eastAsia" w:eastAsia="宋体" w:cs="Times New Roman"/>
                <w:b w:val="0"/>
                <w:bCs w:val="0"/>
                <w:color w:val="auto"/>
                <w:sz w:val="24"/>
                <w:szCs w:val="24"/>
                <w:highlight w:val="none"/>
                <w:lang w:eastAsia="zh-CN"/>
              </w:rPr>
              <w:t>（</w:t>
            </w:r>
            <w:r>
              <w:rPr>
                <w:rFonts w:hint="eastAsia" w:eastAsia="宋体" w:cs="Times New Roman"/>
                <w:b w:val="0"/>
                <w:bCs w:val="0"/>
                <w:color w:val="auto"/>
                <w:sz w:val="24"/>
                <w:szCs w:val="24"/>
                <w:highlight w:val="none"/>
                <w:lang w:val="en-US" w:eastAsia="zh-CN"/>
              </w:rPr>
              <w:t>6</w:t>
            </w:r>
            <w:r>
              <w:rPr>
                <w:rFonts w:hint="eastAsia"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项目施工前应对工程占用区域可利用的表土进行剥离，单独堆存，加强表土堆存防护及管理，确保有效回用。施工过程中，采取绿色施工工艺，减少地表开挖，合理设计高陡边坡支挡、加固措施，减少对脆弱生态的扰动。</w:t>
            </w:r>
          </w:p>
          <w:p w14:paraId="249FB584">
            <w:pPr>
              <w:keepNext w:val="0"/>
              <w:keepLines w:val="0"/>
              <w:pageBreakBefore w:val="0"/>
              <w:widowControl w:val="0"/>
              <w:wordWrap/>
              <w:topLinePunct w:val="0"/>
              <w:bidi w:val="0"/>
              <w:adjustRightInd w:val="0"/>
              <w:snapToGrid w:val="0"/>
              <w:spacing w:line="360" w:lineRule="auto"/>
              <w:ind w:firstLine="480" w:firstLineChars="200"/>
              <w:rPr>
                <w:rFonts w:hint="default" w:ascii="Times New Roman" w:hAnsi="Times New Roman" w:cs="Times New Roman"/>
                <w:b w:val="0"/>
                <w:bCs w:val="0"/>
                <w:color w:val="auto"/>
                <w:sz w:val="24"/>
                <w:szCs w:val="24"/>
                <w:highlight w:val="none"/>
              </w:rPr>
            </w:pPr>
            <w:r>
              <w:rPr>
                <w:rFonts w:hint="eastAsia" w:cs="Times New Roman"/>
                <w:b w:val="0"/>
                <w:bCs w:val="0"/>
                <w:color w:val="auto"/>
                <w:sz w:val="24"/>
                <w:szCs w:val="24"/>
                <w:highlight w:val="none"/>
                <w:lang w:eastAsia="zh-CN"/>
              </w:rPr>
              <w:t>（</w:t>
            </w:r>
            <w:r>
              <w:rPr>
                <w:rFonts w:hint="eastAsia" w:cs="Times New Roman"/>
                <w:b w:val="0"/>
                <w:bCs w:val="0"/>
                <w:color w:val="auto"/>
                <w:sz w:val="24"/>
                <w:szCs w:val="24"/>
                <w:highlight w:val="none"/>
                <w:lang w:val="en-US" w:eastAsia="zh-CN"/>
              </w:rPr>
              <w:t>7</w:t>
            </w:r>
            <w:r>
              <w:rPr>
                <w:rFonts w:hint="eastAsia"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lang w:eastAsia="zh-CN"/>
              </w:rPr>
              <w:t>挖掘土方</w:t>
            </w:r>
            <w:r>
              <w:rPr>
                <w:rFonts w:hint="default" w:ascii="Times New Roman" w:hAnsi="Times New Roman" w:cs="Times New Roman"/>
                <w:b w:val="0"/>
                <w:bCs w:val="0"/>
                <w:color w:val="auto"/>
                <w:sz w:val="24"/>
                <w:szCs w:val="24"/>
                <w:highlight w:val="none"/>
              </w:rPr>
              <w:t>堆放在场地一侧，周边设临时拦挡，并采用防尘网苫盖，施工完毕后，</w:t>
            </w:r>
            <w:r>
              <w:rPr>
                <w:rFonts w:hint="default" w:ascii="Times New Roman" w:hAnsi="Times New Roman" w:cs="Times New Roman"/>
                <w:b w:val="0"/>
                <w:bCs w:val="0"/>
                <w:color w:val="auto"/>
                <w:sz w:val="24"/>
                <w:szCs w:val="24"/>
                <w:highlight w:val="none"/>
                <w:lang w:eastAsia="zh-CN"/>
              </w:rPr>
              <w:t>针对扰动部分覆盖表土并压实。</w:t>
            </w:r>
          </w:p>
          <w:p w14:paraId="4391E25D">
            <w:pPr>
              <w:keepNext w:val="0"/>
              <w:keepLines w:val="0"/>
              <w:pageBreakBefore w:val="0"/>
              <w:widowControl w:val="0"/>
              <w:wordWrap/>
              <w:topLinePunct w:val="0"/>
              <w:bidi w:val="0"/>
              <w:adjustRightInd w:val="0"/>
              <w:snapToGrid w:val="0"/>
              <w:spacing w:line="360" w:lineRule="auto"/>
              <w:ind w:firstLine="480" w:firstLineChars="200"/>
              <w:rPr>
                <w:rFonts w:hint="eastAsia" w:ascii="Times New Roman" w:hAnsi="Times New Roman" w:eastAsia="宋体" w:cs="Times New Roman"/>
                <w:b w:val="0"/>
                <w:bCs w:val="0"/>
                <w:color w:val="auto"/>
                <w:sz w:val="24"/>
                <w:szCs w:val="24"/>
                <w:highlight w:val="none"/>
                <w:lang w:eastAsia="zh-CN"/>
              </w:rPr>
            </w:pPr>
            <w:r>
              <w:rPr>
                <w:rFonts w:hint="eastAsia" w:cs="Times New Roman"/>
                <w:b w:val="0"/>
                <w:bCs w:val="0"/>
                <w:color w:val="auto"/>
                <w:sz w:val="24"/>
                <w:szCs w:val="24"/>
                <w:highlight w:val="none"/>
                <w:lang w:eastAsia="zh-CN"/>
              </w:rPr>
              <w:t>（</w:t>
            </w:r>
            <w:r>
              <w:rPr>
                <w:rFonts w:hint="eastAsia" w:cs="Times New Roman"/>
                <w:b w:val="0"/>
                <w:bCs w:val="0"/>
                <w:color w:val="auto"/>
                <w:sz w:val="24"/>
                <w:szCs w:val="24"/>
                <w:highlight w:val="none"/>
                <w:lang w:val="en-US" w:eastAsia="zh-CN"/>
              </w:rPr>
              <w:t>8</w:t>
            </w:r>
            <w:r>
              <w:rPr>
                <w:rFonts w:hint="eastAsia"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rPr>
              <w:t>施工作业结束后，及时平整各类施工迹地，恢复原有地貌，并采取水土保持措施，防治新增水土流失</w:t>
            </w:r>
            <w:r>
              <w:rPr>
                <w:rFonts w:hint="default" w:ascii="Times New Roman" w:hAnsi="Times New Roman" w:cs="Times New Roman"/>
                <w:b w:val="0"/>
                <w:bCs w:val="0"/>
                <w:color w:val="auto"/>
                <w:sz w:val="24"/>
                <w:szCs w:val="24"/>
                <w:highlight w:val="none"/>
                <w:lang w:eastAsia="zh-CN"/>
              </w:rPr>
              <w:t>。</w:t>
            </w:r>
          </w:p>
          <w:p w14:paraId="6D897745">
            <w:pPr>
              <w:keepNext w:val="0"/>
              <w:keepLines w:val="0"/>
              <w:pageBreakBefore w:val="0"/>
              <w:widowControl w:val="0"/>
              <w:tabs>
                <w:tab w:val="left" w:pos="6480"/>
              </w:tabs>
              <w:wordWrap/>
              <w:topLinePunct w:val="0"/>
              <w:bidi w:val="0"/>
              <w:spacing w:line="360" w:lineRule="auto"/>
              <w:ind w:firstLine="480" w:firstLineChars="200"/>
              <w:rPr>
                <w:rFonts w:hint="default" w:ascii="Times New Roman" w:hAnsi="Times New Roman" w:cs="Times New Roman"/>
                <w:color w:val="auto"/>
                <w:sz w:val="24"/>
                <w:highlight w:val="none"/>
              </w:rPr>
            </w:pPr>
            <w:r>
              <w:rPr>
                <w:rFonts w:hint="eastAsia" w:eastAsia="宋体" w:cs="Times New Roman"/>
                <w:b w:val="0"/>
                <w:bCs w:val="0"/>
                <w:color w:val="auto"/>
                <w:sz w:val="24"/>
                <w:szCs w:val="24"/>
                <w:highlight w:val="none"/>
                <w:lang w:eastAsia="zh-CN"/>
              </w:rPr>
              <w:t>（</w:t>
            </w:r>
            <w:r>
              <w:rPr>
                <w:rFonts w:hint="eastAsia" w:eastAsia="宋体" w:cs="Times New Roman"/>
                <w:b w:val="0"/>
                <w:bCs w:val="0"/>
                <w:color w:val="auto"/>
                <w:sz w:val="24"/>
                <w:szCs w:val="24"/>
                <w:highlight w:val="none"/>
                <w:lang w:val="en-US" w:eastAsia="zh-CN"/>
              </w:rPr>
              <w:t>9</w:t>
            </w:r>
            <w:r>
              <w:rPr>
                <w:rFonts w:hint="eastAsia" w:eastAsia="宋体" w:cs="Times New Roman"/>
                <w:b w:val="0"/>
                <w:bCs w:val="0"/>
                <w:color w:val="auto"/>
                <w:sz w:val="24"/>
                <w:szCs w:val="24"/>
                <w:highlight w:val="none"/>
                <w:lang w:eastAsia="zh-CN"/>
              </w:rPr>
              <w:t>）</w:t>
            </w:r>
            <w:r>
              <w:rPr>
                <w:rFonts w:hint="default" w:ascii="Times New Roman" w:hAnsi="Times New Roman" w:cs="Times New Roman"/>
                <w:color w:val="auto"/>
                <w:sz w:val="24"/>
                <w:highlight w:val="none"/>
              </w:rPr>
              <w:t>施工分区进行，以缩短工期，开挖裸露面</w:t>
            </w:r>
            <w:r>
              <w:rPr>
                <w:rFonts w:hint="default" w:ascii="Times New Roman" w:hAnsi="Times New Roman" w:cs="Times New Roman"/>
                <w:color w:val="auto"/>
                <w:sz w:val="24"/>
                <w:highlight w:val="none"/>
                <w:lang w:eastAsia="zh-CN"/>
              </w:rPr>
              <w:t>采取防护</w:t>
            </w:r>
            <w:r>
              <w:rPr>
                <w:rFonts w:hint="default" w:ascii="Times New Roman" w:hAnsi="Times New Roman" w:cs="Times New Roman"/>
                <w:color w:val="auto"/>
                <w:sz w:val="24"/>
                <w:highlight w:val="none"/>
              </w:rPr>
              <w:t>措施，尽量缩短暴露时间，在施工期结束后及时对裸露区域进行</w:t>
            </w:r>
            <w:r>
              <w:rPr>
                <w:rFonts w:hint="default" w:ascii="Times New Roman" w:hAnsi="Times New Roman" w:cs="Times New Roman"/>
                <w:color w:val="auto"/>
                <w:sz w:val="24"/>
                <w:highlight w:val="none"/>
                <w:lang w:eastAsia="zh-CN"/>
              </w:rPr>
              <w:t>表土覆盖并压实</w:t>
            </w:r>
            <w:r>
              <w:rPr>
                <w:rFonts w:hint="default" w:ascii="Times New Roman" w:hAnsi="Times New Roman" w:cs="Times New Roman"/>
                <w:color w:val="auto"/>
                <w:sz w:val="24"/>
                <w:highlight w:val="none"/>
              </w:rPr>
              <w:t>。</w:t>
            </w:r>
          </w:p>
          <w:p w14:paraId="18452257">
            <w:pPr>
              <w:keepNext w:val="0"/>
              <w:keepLines w:val="0"/>
              <w:pageBreakBefore w:val="0"/>
              <w:widowControl w:val="0"/>
              <w:wordWrap/>
              <w:topLinePunct w:val="0"/>
              <w:bidi w:val="0"/>
              <w:adjustRightInd w:val="0"/>
              <w:snapToGrid w:val="0"/>
              <w:spacing w:line="360" w:lineRule="auto"/>
              <w:ind w:firstLine="480" w:firstLineChars="200"/>
              <w:rPr>
                <w:rFonts w:hint="default" w:ascii="Times New Roman" w:hAnsi="Times New Roman" w:cs="Times New Roman"/>
                <w:b w:val="0"/>
                <w:bCs w:val="0"/>
                <w:color w:val="auto"/>
                <w:sz w:val="24"/>
                <w:szCs w:val="24"/>
                <w:highlight w:val="none"/>
              </w:rPr>
            </w:pPr>
            <w:r>
              <w:rPr>
                <w:rFonts w:hint="eastAsia" w:cs="Times New Roman"/>
                <w:b w:val="0"/>
                <w:bCs w:val="0"/>
                <w:color w:val="auto"/>
                <w:sz w:val="24"/>
                <w:szCs w:val="24"/>
                <w:highlight w:val="none"/>
                <w:lang w:eastAsia="zh-CN"/>
              </w:rPr>
              <w:t>（</w:t>
            </w:r>
            <w:r>
              <w:rPr>
                <w:rFonts w:hint="eastAsia" w:cs="Times New Roman"/>
                <w:b w:val="0"/>
                <w:bCs w:val="0"/>
                <w:color w:val="auto"/>
                <w:sz w:val="24"/>
                <w:szCs w:val="24"/>
                <w:highlight w:val="none"/>
                <w:lang w:val="en-US" w:eastAsia="zh-CN"/>
              </w:rPr>
              <w:t>10</w:t>
            </w:r>
            <w:r>
              <w:rPr>
                <w:rFonts w:hint="eastAsia"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eastAsia="zh-CN"/>
              </w:rPr>
              <w:t>施工期禁止捕杀野生动物。</w:t>
            </w:r>
          </w:p>
          <w:p w14:paraId="43EC9028">
            <w:pPr>
              <w:keepNext w:val="0"/>
              <w:keepLines w:val="0"/>
              <w:pageBreakBefore w:val="0"/>
              <w:widowControl w:val="0"/>
              <w:wordWrap/>
              <w:topLinePunct w:val="0"/>
              <w:bidi w:val="0"/>
              <w:adjustRightInd w:val="0"/>
              <w:snapToGrid w:val="0"/>
              <w:spacing w:line="360" w:lineRule="auto"/>
              <w:ind w:firstLine="480" w:firstLineChars="200"/>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通过落实上述措施，</w:t>
            </w:r>
            <w:r>
              <w:rPr>
                <w:rFonts w:hint="default" w:ascii="Times New Roman" w:hAnsi="Times New Roman" w:cs="Times New Roman"/>
                <w:b w:val="0"/>
                <w:bCs w:val="0"/>
                <w:color w:val="auto"/>
                <w:sz w:val="24"/>
                <w:szCs w:val="24"/>
                <w:highlight w:val="none"/>
                <w:lang w:eastAsia="zh-CN"/>
              </w:rPr>
              <w:t>项目建设</w:t>
            </w:r>
            <w:r>
              <w:rPr>
                <w:rFonts w:hint="default" w:ascii="Times New Roman" w:hAnsi="Times New Roman" w:cs="Times New Roman"/>
                <w:b w:val="0"/>
                <w:bCs w:val="0"/>
                <w:color w:val="auto"/>
                <w:sz w:val="24"/>
                <w:szCs w:val="24"/>
                <w:highlight w:val="none"/>
              </w:rPr>
              <w:t>对周边生态影响可得到有效减缓。</w:t>
            </w:r>
          </w:p>
          <w:p w14:paraId="1108DC18">
            <w:pPr>
              <w:keepNext w:val="0"/>
              <w:keepLines w:val="0"/>
              <w:pageBreakBefore w:val="0"/>
              <w:widowControl w:val="0"/>
              <w:wordWrap/>
              <w:topLinePunct w:val="0"/>
              <w:bidi w:val="0"/>
              <w:adjustRightInd w:val="0"/>
              <w:snapToGrid w:val="0"/>
              <w:spacing w:line="360" w:lineRule="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6.</w:t>
            </w:r>
            <w:r>
              <w:rPr>
                <w:rFonts w:hint="default" w:ascii="Times New Roman" w:hAnsi="Times New Roman" w:cs="Times New Roman"/>
                <w:b/>
                <w:bCs/>
                <w:color w:val="auto"/>
                <w:sz w:val="24"/>
                <w:szCs w:val="24"/>
                <w:highlight w:val="none"/>
              </w:rPr>
              <w:t>水土</w:t>
            </w:r>
            <w:r>
              <w:rPr>
                <w:rFonts w:hint="default" w:ascii="Times New Roman" w:hAnsi="Times New Roman" w:cs="Times New Roman"/>
                <w:b/>
                <w:bCs/>
                <w:color w:val="auto"/>
                <w:sz w:val="24"/>
                <w:szCs w:val="24"/>
                <w:highlight w:val="none"/>
                <w:lang w:val="en-US" w:eastAsia="zh-CN"/>
              </w:rPr>
              <w:t>保持措施</w:t>
            </w:r>
          </w:p>
          <w:p w14:paraId="63CAACFC">
            <w:pPr>
              <w:keepNext w:val="0"/>
              <w:keepLines w:val="0"/>
              <w:pageBreakBefore w:val="0"/>
              <w:widowControl w:val="0"/>
              <w:tabs>
                <w:tab w:val="left" w:pos="6480"/>
              </w:tabs>
              <w:wordWrap/>
              <w:topLinePunct w:val="0"/>
              <w:bidi w:val="0"/>
              <w:spacing w:line="360" w:lineRule="auto"/>
              <w:ind w:firstLine="456" w:firstLineChars="200"/>
              <w:rPr>
                <w:rFonts w:hint="eastAsia" w:ascii="Times New Roman" w:hAnsi="Times New Roman" w:eastAsia="宋体" w:cs="Times New Roman"/>
                <w:color w:val="auto"/>
                <w:spacing w:val="-6"/>
                <w:sz w:val="24"/>
                <w:highlight w:val="none"/>
                <w:lang w:eastAsia="zh-CN"/>
              </w:rPr>
            </w:pPr>
            <w:r>
              <w:rPr>
                <w:rFonts w:hint="default" w:ascii="Times New Roman" w:hAnsi="Times New Roman" w:cs="Times New Roman"/>
                <w:color w:val="auto"/>
                <w:spacing w:val="-6"/>
                <w:sz w:val="24"/>
                <w:highlight w:val="none"/>
              </w:rPr>
              <w:t>随着施工场地、</w:t>
            </w:r>
            <w:r>
              <w:rPr>
                <w:rFonts w:hint="default" w:ascii="Times New Roman" w:hAnsi="Times New Roman" w:cs="Times New Roman"/>
                <w:color w:val="auto"/>
                <w:spacing w:val="-6"/>
                <w:sz w:val="24"/>
                <w:highlight w:val="none"/>
                <w:lang w:eastAsia="zh-CN"/>
              </w:rPr>
              <w:t>土方</w:t>
            </w:r>
            <w:r>
              <w:rPr>
                <w:rFonts w:hint="default" w:ascii="Times New Roman" w:hAnsi="Times New Roman" w:cs="Times New Roman"/>
                <w:color w:val="auto"/>
                <w:spacing w:val="-6"/>
                <w:sz w:val="24"/>
                <w:highlight w:val="none"/>
              </w:rPr>
              <w:t>工程开挖、填方、平整，原有的表土层</w:t>
            </w:r>
            <w:r>
              <w:rPr>
                <w:rFonts w:hint="default" w:ascii="Times New Roman" w:hAnsi="Times New Roman" w:cs="Times New Roman"/>
                <w:color w:val="auto"/>
                <w:spacing w:val="-6"/>
                <w:sz w:val="24"/>
                <w:highlight w:val="none"/>
                <w:lang w:eastAsia="zh-CN"/>
              </w:rPr>
              <w:t>受到</w:t>
            </w:r>
            <w:r>
              <w:rPr>
                <w:rFonts w:hint="default" w:ascii="Times New Roman" w:hAnsi="Times New Roman" w:cs="Times New Roman"/>
                <w:color w:val="auto"/>
                <w:spacing w:val="-6"/>
                <w:sz w:val="24"/>
                <w:highlight w:val="none"/>
              </w:rPr>
              <w:t>破坏，</w:t>
            </w:r>
            <w:r>
              <w:rPr>
                <w:rFonts w:hint="default" w:ascii="Times New Roman" w:hAnsi="Times New Roman" w:cs="Times New Roman"/>
                <w:color w:val="auto"/>
                <w:spacing w:val="-6"/>
                <w:sz w:val="24"/>
                <w:highlight w:val="none"/>
                <w:lang w:val="en-US" w:eastAsia="zh-CN"/>
              </w:rPr>
              <w:t>导致</w:t>
            </w:r>
            <w:r>
              <w:rPr>
                <w:rFonts w:hint="default" w:ascii="Times New Roman" w:hAnsi="Times New Roman" w:cs="Times New Roman"/>
                <w:color w:val="auto"/>
                <w:spacing w:val="-6"/>
                <w:sz w:val="24"/>
                <w:highlight w:val="none"/>
              </w:rPr>
              <w:t>土壤松动，或者施工过程中由于挖方及填方形成的土堆不及时清理</w:t>
            </w:r>
            <w:r>
              <w:rPr>
                <w:rFonts w:hint="default" w:ascii="Times New Roman" w:hAnsi="Times New Roman" w:cs="Times New Roman"/>
                <w:color w:val="auto"/>
                <w:spacing w:val="-6"/>
                <w:sz w:val="24"/>
                <w:highlight w:val="none"/>
                <w:lang w:eastAsia="zh-CN"/>
              </w:rPr>
              <w:t>，</w:t>
            </w:r>
            <w:r>
              <w:rPr>
                <w:rFonts w:hint="default" w:ascii="Times New Roman" w:hAnsi="Times New Roman" w:cs="Times New Roman"/>
                <w:color w:val="auto"/>
                <w:spacing w:val="-6"/>
                <w:sz w:val="24"/>
                <w:highlight w:val="none"/>
              </w:rPr>
              <w:t>遇到较大风速时，易发生水土流失。</w:t>
            </w:r>
            <w:r>
              <w:rPr>
                <w:rFonts w:hint="default" w:ascii="Times New Roman" w:hAnsi="Times New Roman" w:cs="Times New Roman"/>
                <w:color w:val="auto"/>
                <w:spacing w:val="-6"/>
                <w:sz w:val="24"/>
                <w:highlight w:val="none"/>
                <w:lang w:val="en-US" w:eastAsia="zh-CN"/>
              </w:rPr>
              <w:t>本次环评</w:t>
            </w:r>
            <w:r>
              <w:rPr>
                <w:rFonts w:hint="default" w:ascii="Times New Roman" w:hAnsi="Times New Roman" w:cs="Times New Roman"/>
                <w:color w:val="auto"/>
                <w:spacing w:val="-6"/>
                <w:sz w:val="24"/>
                <w:highlight w:val="none"/>
                <w:lang w:eastAsia="zh-CN"/>
              </w:rPr>
              <w:t>建议采取的水土保持</w:t>
            </w:r>
            <w:r>
              <w:rPr>
                <w:rFonts w:hint="default" w:ascii="Times New Roman" w:hAnsi="Times New Roman" w:cs="Times New Roman"/>
                <w:color w:val="auto"/>
                <w:spacing w:val="-6"/>
                <w:sz w:val="24"/>
                <w:highlight w:val="none"/>
              </w:rPr>
              <w:t>措施如下：</w:t>
            </w:r>
          </w:p>
          <w:p w14:paraId="20F7107B">
            <w:pPr>
              <w:keepNext w:val="0"/>
              <w:keepLines w:val="0"/>
              <w:pageBreakBefore w:val="0"/>
              <w:widowControl w:val="0"/>
              <w:tabs>
                <w:tab w:val="left" w:pos="6480"/>
              </w:tabs>
              <w:wordWrap/>
              <w:topLinePunct w:val="0"/>
              <w:bidi w:val="0"/>
              <w:spacing w:line="360" w:lineRule="auto"/>
              <w:ind w:firstLine="456" w:firstLineChars="200"/>
              <w:rPr>
                <w:rFonts w:hint="default" w:ascii="Times New Roman" w:hAnsi="Times New Roman" w:cs="Times New Roman"/>
                <w:color w:val="auto"/>
                <w:spacing w:val="-6"/>
                <w:sz w:val="24"/>
                <w:highlight w:val="none"/>
                <w:lang w:eastAsia="zh-CN"/>
              </w:rPr>
            </w:pPr>
            <w:r>
              <w:rPr>
                <w:rFonts w:hint="default" w:ascii="Times New Roman" w:hAnsi="Times New Roman" w:cs="Times New Roman"/>
                <w:color w:val="auto"/>
                <w:spacing w:val="-6"/>
                <w:sz w:val="24"/>
                <w:highlight w:val="none"/>
                <w:lang w:eastAsia="zh-CN"/>
              </w:rPr>
              <w:t>（1）工程措施：施工区进行表土</w:t>
            </w:r>
            <w:r>
              <w:rPr>
                <w:rFonts w:hint="eastAsia" w:cs="Times New Roman"/>
                <w:color w:val="auto"/>
                <w:spacing w:val="-6"/>
                <w:sz w:val="24"/>
                <w:highlight w:val="none"/>
                <w:lang w:val="en-US" w:eastAsia="zh-CN"/>
              </w:rPr>
              <w:t>剥离</w:t>
            </w:r>
            <w:r>
              <w:rPr>
                <w:rFonts w:hint="default" w:ascii="Times New Roman" w:hAnsi="Times New Roman" w:cs="Times New Roman"/>
                <w:color w:val="auto"/>
                <w:spacing w:val="-6"/>
                <w:sz w:val="24"/>
                <w:highlight w:val="none"/>
                <w:lang w:eastAsia="zh-CN"/>
              </w:rPr>
              <w:t>，</w:t>
            </w:r>
            <w:r>
              <w:rPr>
                <w:rFonts w:hint="eastAsia" w:cs="Times New Roman"/>
                <w:color w:val="auto"/>
                <w:spacing w:val="-6"/>
                <w:sz w:val="24"/>
                <w:highlight w:val="none"/>
                <w:lang w:val="en-US" w:eastAsia="zh-CN"/>
              </w:rPr>
              <w:t>表土</w:t>
            </w:r>
            <w:r>
              <w:rPr>
                <w:rFonts w:hint="default" w:ascii="Times New Roman" w:hAnsi="Times New Roman" w:cs="Times New Roman"/>
                <w:color w:val="auto"/>
                <w:spacing w:val="-6"/>
                <w:sz w:val="24"/>
                <w:highlight w:val="none"/>
                <w:lang w:eastAsia="zh-CN"/>
              </w:rPr>
              <w:t>分类堆放，</w:t>
            </w:r>
            <w:r>
              <w:rPr>
                <w:rFonts w:hint="default" w:ascii="Times New Roman" w:hAnsi="Times New Roman" w:cs="Times New Roman"/>
                <w:color w:val="auto"/>
                <w:spacing w:val="-6"/>
                <w:sz w:val="24"/>
                <w:highlight w:val="none"/>
                <w:lang w:val="en-US" w:eastAsia="zh-CN"/>
              </w:rPr>
              <w:t>采取遮盖措施，</w:t>
            </w:r>
            <w:r>
              <w:rPr>
                <w:rFonts w:hint="default" w:ascii="Times New Roman" w:hAnsi="Times New Roman" w:cs="Times New Roman"/>
                <w:color w:val="auto"/>
                <w:spacing w:val="-6"/>
                <w:sz w:val="24"/>
                <w:highlight w:val="none"/>
                <w:lang w:eastAsia="zh-CN"/>
              </w:rPr>
              <w:t>施工结束后</w:t>
            </w:r>
            <w:r>
              <w:rPr>
                <w:rFonts w:hint="eastAsia" w:cs="Times New Roman"/>
                <w:color w:val="auto"/>
                <w:spacing w:val="-6"/>
                <w:sz w:val="24"/>
                <w:highlight w:val="none"/>
                <w:lang w:val="en-US" w:eastAsia="zh-CN"/>
              </w:rPr>
              <w:t>采用表土对施工区域</w:t>
            </w:r>
            <w:r>
              <w:rPr>
                <w:rFonts w:hint="default" w:ascii="Times New Roman" w:hAnsi="Times New Roman" w:cs="Times New Roman"/>
                <w:color w:val="auto"/>
                <w:spacing w:val="-6"/>
                <w:sz w:val="24"/>
                <w:highlight w:val="none"/>
                <w:lang w:eastAsia="zh-CN"/>
              </w:rPr>
              <w:t>进行平整</w:t>
            </w:r>
            <w:r>
              <w:rPr>
                <w:rFonts w:hint="eastAsia" w:cs="Times New Roman"/>
                <w:color w:val="auto"/>
                <w:spacing w:val="-6"/>
                <w:sz w:val="24"/>
                <w:highlight w:val="none"/>
                <w:lang w:eastAsia="zh-CN"/>
              </w:rPr>
              <w:t>、</w:t>
            </w:r>
            <w:r>
              <w:rPr>
                <w:rFonts w:hint="default" w:ascii="Times New Roman" w:hAnsi="Times New Roman" w:cs="Times New Roman"/>
                <w:color w:val="auto"/>
                <w:spacing w:val="-6"/>
                <w:sz w:val="24"/>
                <w:highlight w:val="none"/>
                <w:lang w:eastAsia="zh-CN"/>
              </w:rPr>
              <w:t>压实。</w:t>
            </w:r>
          </w:p>
          <w:p w14:paraId="568DB44C">
            <w:pPr>
              <w:keepNext w:val="0"/>
              <w:keepLines w:val="0"/>
              <w:pageBreakBefore w:val="0"/>
              <w:widowControl w:val="0"/>
              <w:tabs>
                <w:tab w:val="left" w:pos="6480"/>
              </w:tabs>
              <w:wordWrap/>
              <w:topLinePunct w:val="0"/>
              <w:bidi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（2）植物措施：</w:t>
            </w:r>
            <w:r>
              <w:rPr>
                <w:rFonts w:hint="eastAsia" w:cs="Times New Roman"/>
                <w:color w:val="auto"/>
                <w:sz w:val="24"/>
                <w:highlight w:val="none"/>
                <w:lang w:val="en-US" w:eastAsia="zh-CN"/>
              </w:rPr>
              <w:t>临时用地</w:t>
            </w:r>
            <w:r>
              <w:rPr>
                <w:rFonts w:hint="default" w:ascii="Times New Roman" w:hAnsi="Times New Roman" w:cs="Times New Roman"/>
                <w:b w:val="0"/>
                <w:bCs w:val="0"/>
                <w:color w:val="auto"/>
                <w:sz w:val="24"/>
                <w:szCs w:val="24"/>
                <w:highlight w:val="none"/>
              </w:rPr>
              <w:t>及时</w:t>
            </w:r>
            <w:r>
              <w:rPr>
                <w:rFonts w:hint="default" w:ascii="Times New Roman" w:hAnsi="Times New Roman" w:cs="Times New Roman"/>
                <w:b w:val="0"/>
                <w:bCs w:val="0"/>
                <w:color w:val="auto"/>
                <w:sz w:val="24"/>
                <w:szCs w:val="24"/>
                <w:highlight w:val="none"/>
                <w:lang w:eastAsia="zh-CN"/>
              </w:rPr>
              <w:t>进行</w:t>
            </w:r>
            <w:r>
              <w:rPr>
                <w:rFonts w:hint="default" w:ascii="Times New Roman" w:hAnsi="Times New Roman" w:cs="Times New Roman"/>
                <w:b w:val="0"/>
                <w:bCs w:val="0"/>
                <w:color w:val="auto"/>
                <w:sz w:val="24"/>
                <w:szCs w:val="24"/>
                <w:highlight w:val="none"/>
              </w:rPr>
              <w:t>平整</w:t>
            </w:r>
            <w:r>
              <w:rPr>
                <w:rFonts w:hint="default" w:ascii="Times New Roman" w:hAnsi="Times New Roman" w:cs="Times New Roman"/>
                <w:b w:val="0"/>
                <w:bCs w:val="0"/>
                <w:color w:val="auto"/>
                <w:sz w:val="24"/>
                <w:szCs w:val="24"/>
                <w:highlight w:val="none"/>
                <w:lang w:eastAsia="zh-CN"/>
              </w:rPr>
              <w:t>、压实、播撒当地适宜草籽进行生态恢复</w:t>
            </w:r>
            <w:r>
              <w:rPr>
                <w:rFonts w:hint="default" w:ascii="Times New Roman" w:hAnsi="Times New Roman" w:cs="Times New Roman"/>
                <w:color w:val="auto"/>
                <w:sz w:val="24"/>
                <w:highlight w:val="none"/>
                <w:lang w:eastAsia="zh-CN"/>
              </w:rPr>
              <w:t>。</w:t>
            </w:r>
          </w:p>
          <w:p w14:paraId="7CEA957D">
            <w:pPr>
              <w:keepNext w:val="0"/>
              <w:keepLines w:val="0"/>
              <w:pageBreakBefore w:val="0"/>
              <w:widowControl w:val="0"/>
              <w:tabs>
                <w:tab w:val="left" w:pos="6480"/>
              </w:tabs>
              <w:wordWrap/>
              <w:topLinePunct w:val="0"/>
              <w:bidi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3）临时措施：施工过程中，特别是下雨或刮风期施工时，为防止开挖填垫后的场地水蚀和风蚀，可对施工区布设排水、拦挡和遮盖等临时防护措施，考虑临时工程的短时效性，选择有效、简单易行、易于拆除且投资小的措施。</w:t>
            </w:r>
          </w:p>
          <w:p w14:paraId="676444F4">
            <w:pPr>
              <w:keepNext w:val="0"/>
              <w:keepLines w:val="0"/>
              <w:pageBreakBefore w:val="0"/>
              <w:widowControl w:val="0"/>
              <w:tabs>
                <w:tab w:val="left" w:pos="6480"/>
              </w:tabs>
              <w:wordWrap/>
              <w:topLinePunct w:val="0"/>
              <w:bidi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（4）管理措施：施工区、施工道路路面要定期洒水，临时堆放的土石料和运输车辆应遮盖。</w:t>
            </w:r>
          </w:p>
          <w:p w14:paraId="5E39868C">
            <w:pPr>
              <w:keepNext w:val="0"/>
              <w:keepLines w:val="0"/>
              <w:pageBreakBefore w:val="0"/>
              <w:widowControl w:val="0"/>
              <w:wordWrap/>
              <w:topLinePunct w:val="0"/>
              <w:bidi w:val="0"/>
              <w:adjustRightInd w:val="0"/>
              <w:snapToGrid w:val="0"/>
              <w:spacing w:line="360" w:lineRule="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7.防沙治沙措施</w:t>
            </w:r>
          </w:p>
          <w:p w14:paraId="2FF8474E">
            <w:pPr>
              <w:keepNext w:val="0"/>
              <w:keepLines w:val="0"/>
              <w:pageBreakBefore w:val="0"/>
              <w:widowControl w:val="0"/>
              <w:tabs>
                <w:tab w:val="left" w:pos="6480"/>
              </w:tabs>
              <w:wordWrap/>
              <w:topLinePunct w:val="0"/>
              <w:bidi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根据《防沙治沙技术规范》（GB/T21141-2007），建议采取以下治理措施：</w:t>
            </w:r>
          </w:p>
          <w:p w14:paraId="655D4799">
            <w:pPr>
              <w:keepNext w:val="0"/>
              <w:keepLines w:val="0"/>
              <w:pageBreakBefore w:val="0"/>
              <w:widowControl w:val="0"/>
              <w:tabs>
                <w:tab w:val="left" w:pos="6480"/>
              </w:tabs>
              <w:wordWrap/>
              <w:topLinePunct w:val="0"/>
              <w:bidi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（1）工程措施（物理、化学固沙及其他机械固沙措施）</w:t>
            </w:r>
          </w:p>
          <w:p w14:paraId="6EF8F6EB">
            <w:pPr>
              <w:keepNext w:val="0"/>
              <w:keepLines w:val="0"/>
              <w:pageBreakBefore w:val="0"/>
              <w:widowControl w:val="0"/>
              <w:tabs>
                <w:tab w:val="left" w:pos="6480"/>
              </w:tabs>
              <w:wordWrap/>
              <w:topLinePunct w:val="0"/>
              <w:bidi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eastAsia="宋体" w:cs="Times New Roman"/>
                <w:color w:val="auto"/>
                <w:sz w:val="24"/>
                <w:highlight w:val="none"/>
                <w:lang w:val="en-US" w:eastAsia="zh-CN"/>
              </w:rPr>
              <w:t>本项目</w:t>
            </w:r>
            <w:r>
              <w:rPr>
                <w:rFonts w:hint="default" w:ascii="Times New Roman" w:hAnsi="Times New Roman" w:eastAsia="宋体" w:cs="Times New Roman"/>
                <w:color w:val="auto"/>
                <w:sz w:val="24"/>
                <w:highlight w:val="none"/>
                <w:lang w:val="en-US" w:eastAsia="zh-CN"/>
              </w:rPr>
              <w:t>不涉及物理、化学固沙及其他机械固沙措施。</w:t>
            </w:r>
          </w:p>
          <w:p w14:paraId="762B6F41">
            <w:pPr>
              <w:keepNext w:val="0"/>
              <w:keepLines w:val="0"/>
              <w:pageBreakBefore w:val="0"/>
              <w:widowControl w:val="0"/>
              <w:tabs>
                <w:tab w:val="left" w:pos="6480"/>
              </w:tabs>
              <w:wordWrap/>
              <w:topLinePunct w:val="0"/>
              <w:bidi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（2）植物保护措施</w:t>
            </w:r>
          </w:p>
          <w:p w14:paraId="073EC42A">
            <w:pPr>
              <w:keepNext w:val="0"/>
              <w:keepLines w:val="0"/>
              <w:pageBreakBefore w:val="0"/>
              <w:widowControl w:val="0"/>
              <w:tabs>
                <w:tab w:val="left" w:pos="6480"/>
              </w:tabs>
              <w:wordWrap/>
              <w:topLinePunct w:val="0"/>
              <w:bidi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①施工过程中，减小作业带宽度，减少对原有植被的破坏；</w:t>
            </w:r>
          </w:p>
          <w:p w14:paraId="334C7C07">
            <w:pPr>
              <w:keepNext w:val="0"/>
              <w:keepLines w:val="0"/>
              <w:pageBreakBefore w:val="0"/>
              <w:widowControl w:val="0"/>
              <w:tabs>
                <w:tab w:val="left" w:pos="6480"/>
              </w:tabs>
              <w:wordWrap/>
              <w:topLinePunct w:val="0"/>
              <w:bidi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eastAsia="宋体" w:cs="Times New Roman"/>
                <w:color w:val="auto"/>
                <w:sz w:val="24"/>
                <w:highlight w:val="none"/>
                <w:lang w:val="en-US" w:eastAsia="zh-CN"/>
              </w:rPr>
              <w:t>②施工结束后，</w:t>
            </w:r>
            <w:r>
              <w:rPr>
                <w:rFonts w:hint="eastAsia" w:ascii="Times New Roman" w:hAnsi="Times New Roman" w:eastAsia="宋体" w:cs="Times New Roman"/>
                <w:color w:val="auto"/>
                <w:sz w:val="24"/>
                <w:highlight w:val="none"/>
                <w:lang w:val="en-US" w:eastAsia="zh-CN"/>
              </w:rPr>
              <w:t>储能电站</w:t>
            </w:r>
            <w:r>
              <w:rPr>
                <w:rFonts w:hint="default" w:ascii="Times New Roman" w:hAnsi="Times New Roman" w:eastAsia="宋体" w:cs="Times New Roman"/>
                <w:color w:val="auto"/>
                <w:sz w:val="24"/>
                <w:highlight w:val="none"/>
                <w:lang w:val="en-US" w:eastAsia="zh-CN"/>
              </w:rPr>
              <w:t>内进行人工绿化，提高区域绿化率</w:t>
            </w:r>
            <w:r>
              <w:rPr>
                <w:rFonts w:hint="default" w:ascii="Times New Roman" w:hAnsi="Times New Roman" w:cs="Times New Roman"/>
                <w:color w:val="auto"/>
                <w:sz w:val="24"/>
                <w:highlight w:val="none"/>
                <w:lang w:eastAsia="zh-CN"/>
              </w:rPr>
              <w:t>。</w:t>
            </w:r>
          </w:p>
          <w:p w14:paraId="0D213DB1">
            <w:pPr>
              <w:keepNext w:val="0"/>
              <w:keepLines w:val="0"/>
              <w:pageBreakBefore w:val="0"/>
              <w:widowControl w:val="0"/>
              <w:tabs>
                <w:tab w:val="left" w:pos="6480"/>
              </w:tabs>
              <w:wordWrap/>
              <w:topLinePunct w:val="0"/>
              <w:bidi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（3）其他措施</w:t>
            </w:r>
          </w:p>
          <w:p w14:paraId="51A27804">
            <w:pPr>
              <w:keepNext w:val="0"/>
              <w:keepLines w:val="0"/>
              <w:pageBreakBefore w:val="0"/>
              <w:widowControl w:val="0"/>
              <w:tabs>
                <w:tab w:val="left" w:pos="6480"/>
              </w:tabs>
              <w:wordWrap/>
              <w:topLinePunct w:val="0"/>
              <w:bidi w:val="0"/>
              <w:spacing w:line="360" w:lineRule="auto"/>
              <w:ind w:firstLine="480" w:firstLineChars="200"/>
              <w:rPr>
                <w:rFonts w:hint="default" w:ascii="Times New Roman" w:hAnsi="Times New Roman" w:cs="Times New Roman"/>
                <w:bCs/>
                <w:color w:val="auto"/>
                <w:spacing w:val="10"/>
                <w:szCs w:val="21"/>
                <w:highlight w:val="none"/>
              </w:rPr>
            </w:pPr>
            <w:r>
              <w:rPr>
                <w:rFonts w:hint="default" w:ascii="Times New Roman" w:hAnsi="Times New Roman" w:eastAsia="宋体" w:cs="Times New Roman"/>
                <w:color w:val="auto"/>
                <w:sz w:val="24"/>
                <w:highlight w:val="none"/>
                <w:lang w:val="en-US" w:eastAsia="zh-CN"/>
              </w:rPr>
              <w:t>针对施工机械及运输车辆，提出如下措施：施工期间应划定施工活动范围，严格控制和管理运输车辆及重型机械的运行线路和范围，不得离开运输道路及随意行驶，以防破坏土壤和植被，加剧土地沙化。</w:t>
            </w:r>
          </w:p>
        </w:tc>
      </w:tr>
      <w:tr w14:paraId="5E5B50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3" w:hRule="atLeast"/>
          <w:jc w:val="center"/>
        </w:trPr>
        <w:tc>
          <w:tcPr>
            <w:tcW w:w="428" w:type="pct"/>
            <w:noWrap w:val="0"/>
            <w:tcMar>
              <w:left w:w="28" w:type="dxa"/>
              <w:right w:w="28" w:type="dxa"/>
            </w:tcMar>
            <w:vAlign w:val="center"/>
          </w:tcPr>
          <w:p w14:paraId="5C536FFD">
            <w:pPr>
              <w:keepNext w:val="0"/>
              <w:keepLines w:val="0"/>
              <w:pageBreakBefore w:val="0"/>
              <w:widowControl w:val="0"/>
              <w:wordWrap/>
              <w:topLinePunct w:val="0"/>
              <w:bidi w:val="0"/>
              <w:adjustRightInd w:val="0"/>
              <w:snapToGrid w:val="0"/>
              <w:jc w:val="center"/>
              <w:rPr>
                <w:rFonts w:hint="default" w:ascii="Times New Roman" w:hAnsi="Times New Roman" w:cs="Times New Roman"/>
                <w:bCs/>
                <w:color w:val="auto"/>
                <w:spacing w:val="10"/>
                <w:sz w:val="24"/>
                <w:szCs w:val="24"/>
                <w:highlight w:val="none"/>
              </w:rPr>
            </w:pPr>
            <w:r>
              <w:rPr>
                <w:rFonts w:hint="default" w:ascii="Times New Roman" w:hAnsi="Times New Roman" w:cs="Times New Roman"/>
                <w:bCs/>
                <w:color w:val="auto"/>
                <w:spacing w:val="10"/>
                <w:sz w:val="24"/>
                <w:szCs w:val="24"/>
                <w:highlight w:val="none"/>
              </w:rPr>
              <w:t>运</w:t>
            </w:r>
          </w:p>
          <w:p w14:paraId="7E9C91B0">
            <w:pPr>
              <w:keepNext w:val="0"/>
              <w:keepLines w:val="0"/>
              <w:pageBreakBefore w:val="0"/>
              <w:widowControl w:val="0"/>
              <w:wordWrap/>
              <w:topLinePunct w:val="0"/>
              <w:bidi w:val="0"/>
              <w:adjustRightInd w:val="0"/>
              <w:snapToGrid w:val="0"/>
              <w:jc w:val="center"/>
              <w:rPr>
                <w:rFonts w:hint="default" w:ascii="Times New Roman" w:hAnsi="Times New Roman" w:cs="Times New Roman"/>
                <w:bCs/>
                <w:color w:val="auto"/>
                <w:spacing w:val="10"/>
                <w:sz w:val="24"/>
                <w:szCs w:val="24"/>
                <w:highlight w:val="none"/>
              </w:rPr>
            </w:pPr>
            <w:r>
              <w:rPr>
                <w:rFonts w:hint="default" w:ascii="Times New Roman" w:hAnsi="Times New Roman" w:cs="Times New Roman"/>
                <w:bCs/>
                <w:color w:val="auto"/>
                <w:spacing w:val="10"/>
                <w:sz w:val="24"/>
                <w:szCs w:val="24"/>
                <w:highlight w:val="none"/>
              </w:rPr>
              <w:t>营</w:t>
            </w:r>
          </w:p>
          <w:p w14:paraId="0883D291">
            <w:pPr>
              <w:keepNext w:val="0"/>
              <w:keepLines w:val="0"/>
              <w:pageBreakBefore w:val="0"/>
              <w:widowControl w:val="0"/>
              <w:wordWrap/>
              <w:topLinePunct w:val="0"/>
              <w:bidi w:val="0"/>
              <w:adjustRightInd w:val="0"/>
              <w:snapToGrid w:val="0"/>
              <w:jc w:val="center"/>
              <w:rPr>
                <w:rFonts w:hint="default" w:ascii="Times New Roman" w:hAnsi="Times New Roman" w:cs="Times New Roman"/>
                <w:bCs/>
                <w:color w:val="auto"/>
                <w:spacing w:val="10"/>
                <w:sz w:val="24"/>
                <w:szCs w:val="24"/>
                <w:highlight w:val="none"/>
              </w:rPr>
            </w:pPr>
            <w:r>
              <w:rPr>
                <w:rFonts w:hint="default" w:ascii="Times New Roman" w:hAnsi="Times New Roman" w:cs="Times New Roman"/>
                <w:bCs/>
                <w:color w:val="auto"/>
                <w:spacing w:val="10"/>
                <w:sz w:val="24"/>
                <w:szCs w:val="24"/>
                <w:highlight w:val="none"/>
              </w:rPr>
              <w:t>期</w:t>
            </w:r>
          </w:p>
          <w:p w14:paraId="6319CF15">
            <w:pPr>
              <w:keepNext w:val="0"/>
              <w:keepLines w:val="0"/>
              <w:pageBreakBefore w:val="0"/>
              <w:widowControl w:val="0"/>
              <w:wordWrap/>
              <w:topLinePunct w:val="0"/>
              <w:bidi w:val="0"/>
              <w:adjustRightInd w:val="0"/>
              <w:snapToGrid w:val="0"/>
              <w:jc w:val="center"/>
              <w:rPr>
                <w:rFonts w:hint="default" w:ascii="Times New Roman" w:hAnsi="Times New Roman" w:cs="Times New Roman"/>
                <w:bCs/>
                <w:color w:val="auto"/>
                <w:spacing w:val="10"/>
                <w:sz w:val="24"/>
                <w:szCs w:val="24"/>
                <w:highlight w:val="none"/>
              </w:rPr>
            </w:pPr>
            <w:r>
              <w:rPr>
                <w:rFonts w:hint="default" w:ascii="Times New Roman" w:hAnsi="Times New Roman" w:cs="Times New Roman"/>
                <w:bCs/>
                <w:color w:val="auto"/>
                <w:spacing w:val="10"/>
                <w:sz w:val="24"/>
                <w:szCs w:val="24"/>
                <w:highlight w:val="none"/>
              </w:rPr>
              <w:t>生</w:t>
            </w:r>
          </w:p>
          <w:p w14:paraId="6F21A8FB">
            <w:pPr>
              <w:keepNext w:val="0"/>
              <w:keepLines w:val="0"/>
              <w:pageBreakBefore w:val="0"/>
              <w:widowControl w:val="0"/>
              <w:wordWrap/>
              <w:topLinePunct w:val="0"/>
              <w:bidi w:val="0"/>
              <w:adjustRightInd w:val="0"/>
              <w:snapToGrid w:val="0"/>
              <w:jc w:val="center"/>
              <w:rPr>
                <w:rFonts w:hint="default" w:ascii="Times New Roman" w:hAnsi="Times New Roman" w:cs="Times New Roman"/>
                <w:bCs/>
                <w:color w:val="auto"/>
                <w:spacing w:val="10"/>
                <w:sz w:val="24"/>
                <w:szCs w:val="24"/>
                <w:highlight w:val="none"/>
              </w:rPr>
            </w:pPr>
            <w:r>
              <w:rPr>
                <w:rFonts w:hint="default" w:ascii="Times New Roman" w:hAnsi="Times New Roman" w:cs="Times New Roman"/>
                <w:bCs/>
                <w:color w:val="auto"/>
                <w:spacing w:val="10"/>
                <w:sz w:val="24"/>
                <w:szCs w:val="24"/>
                <w:highlight w:val="none"/>
              </w:rPr>
              <w:t>态</w:t>
            </w:r>
          </w:p>
          <w:p w14:paraId="28454FA7">
            <w:pPr>
              <w:keepNext w:val="0"/>
              <w:keepLines w:val="0"/>
              <w:pageBreakBefore w:val="0"/>
              <w:widowControl w:val="0"/>
              <w:wordWrap/>
              <w:topLinePunct w:val="0"/>
              <w:bidi w:val="0"/>
              <w:adjustRightInd w:val="0"/>
              <w:snapToGrid w:val="0"/>
              <w:jc w:val="center"/>
              <w:rPr>
                <w:rFonts w:hint="default" w:ascii="Times New Roman" w:hAnsi="Times New Roman" w:cs="Times New Roman"/>
                <w:bCs/>
                <w:color w:val="auto"/>
                <w:spacing w:val="10"/>
                <w:sz w:val="24"/>
                <w:szCs w:val="24"/>
                <w:highlight w:val="none"/>
              </w:rPr>
            </w:pPr>
            <w:r>
              <w:rPr>
                <w:rFonts w:hint="default" w:ascii="Times New Roman" w:hAnsi="Times New Roman" w:cs="Times New Roman"/>
                <w:bCs/>
                <w:color w:val="auto"/>
                <w:spacing w:val="10"/>
                <w:sz w:val="24"/>
                <w:szCs w:val="24"/>
                <w:highlight w:val="none"/>
              </w:rPr>
              <w:t>环</w:t>
            </w:r>
          </w:p>
          <w:p w14:paraId="53347D1A">
            <w:pPr>
              <w:keepNext w:val="0"/>
              <w:keepLines w:val="0"/>
              <w:pageBreakBefore w:val="0"/>
              <w:widowControl w:val="0"/>
              <w:wordWrap/>
              <w:topLinePunct w:val="0"/>
              <w:bidi w:val="0"/>
              <w:adjustRightInd w:val="0"/>
              <w:snapToGrid w:val="0"/>
              <w:jc w:val="center"/>
              <w:rPr>
                <w:rFonts w:hint="default" w:ascii="Times New Roman" w:hAnsi="Times New Roman" w:cs="Times New Roman"/>
                <w:bCs/>
                <w:color w:val="auto"/>
                <w:spacing w:val="10"/>
                <w:sz w:val="24"/>
                <w:szCs w:val="24"/>
                <w:highlight w:val="none"/>
              </w:rPr>
            </w:pPr>
            <w:r>
              <w:rPr>
                <w:rFonts w:hint="default" w:ascii="Times New Roman" w:hAnsi="Times New Roman" w:cs="Times New Roman"/>
                <w:bCs/>
                <w:color w:val="auto"/>
                <w:spacing w:val="10"/>
                <w:sz w:val="24"/>
                <w:szCs w:val="24"/>
                <w:highlight w:val="none"/>
              </w:rPr>
              <w:t>境</w:t>
            </w:r>
          </w:p>
          <w:p w14:paraId="5B50E1DC">
            <w:pPr>
              <w:keepNext w:val="0"/>
              <w:keepLines w:val="0"/>
              <w:pageBreakBefore w:val="0"/>
              <w:widowControl w:val="0"/>
              <w:wordWrap/>
              <w:topLinePunct w:val="0"/>
              <w:bidi w:val="0"/>
              <w:adjustRightInd w:val="0"/>
              <w:snapToGrid w:val="0"/>
              <w:jc w:val="center"/>
              <w:rPr>
                <w:rFonts w:hint="default" w:ascii="Times New Roman" w:hAnsi="Times New Roman" w:cs="Times New Roman"/>
                <w:bCs/>
                <w:color w:val="auto"/>
                <w:spacing w:val="10"/>
                <w:sz w:val="24"/>
                <w:szCs w:val="24"/>
                <w:highlight w:val="none"/>
              </w:rPr>
            </w:pPr>
            <w:r>
              <w:rPr>
                <w:rFonts w:hint="default" w:ascii="Times New Roman" w:hAnsi="Times New Roman" w:cs="Times New Roman"/>
                <w:bCs/>
                <w:color w:val="auto"/>
                <w:spacing w:val="10"/>
                <w:sz w:val="24"/>
                <w:szCs w:val="24"/>
                <w:highlight w:val="none"/>
              </w:rPr>
              <w:t>保</w:t>
            </w:r>
          </w:p>
          <w:p w14:paraId="72E86FAC">
            <w:pPr>
              <w:keepNext w:val="0"/>
              <w:keepLines w:val="0"/>
              <w:pageBreakBefore w:val="0"/>
              <w:widowControl w:val="0"/>
              <w:wordWrap/>
              <w:topLinePunct w:val="0"/>
              <w:bidi w:val="0"/>
              <w:adjustRightInd w:val="0"/>
              <w:snapToGrid w:val="0"/>
              <w:jc w:val="center"/>
              <w:rPr>
                <w:rFonts w:hint="default" w:ascii="Times New Roman" w:hAnsi="Times New Roman" w:cs="Times New Roman"/>
                <w:bCs/>
                <w:color w:val="auto"/>
                <w:spacing w:val="10"/>
                <w:sz w:val="24"/>
                <w:szCs w:val="24"/>
                <w:highlight w:val="none"/>
              </w:rPr>
            </w:pPr>
            <w:r>
              <w:rPr>
                <w:rFonts w:hint="default" w:ascii="Times New Roman" w:hAnsi="Times New Roman" w:cs="Times New Roman"/>
                <w:bCs/>
                <w:color w:val="auto"/>
                <w:spacing w:val="10"/>
                <w:sz w:val="24"/>
                <w:szCs w:val="24"/>
                <w:highlight w:val="none"/>
              </w:rPr>
              <w:t>护</w:t>
            </w:r>
          </w:p>
          <w:p w14:paraId="2F977F78">
            <w:pPr>
              <w:keepNext w:val="0"/>
              <w:keepLines w:val="0"/>
              <w:pageBreakBefore w:val="0"/>
              <w:widowControl w:val="0"/>
              <w:wordWrap/>
              <w:topLinePunct w:val="0"/>
              <w:bidi w:val="0"/>
              <w:adjustRightInd w:val="0"/>
              <w:snapToGrid w:val="0"/>
              <w:jc w:val="center"/>
              <w:rPr>
                <w:rFonts w:hint="default" w:ascii="Times New Roman" w:hAnsi="Times New Roman" w:cs="Times New Roman"/>
                <w:bCs/>
                <w:color w:val="auto"/>
                <w:spacing w:val="10"/>
                <w:sz w:val="24"/>
                <w:szCs w:val="24"/>
                <w:highlight w:val="none"/>
              </w:rPr>
            </w:pPr>
            <w:r>
              <w:rPr>
                <w:rFonts w:hint="default" w:ascii="Times New Roman" w:hAnsi="Times New Roman" w:cs="Times New Roman"/>
                <w:bCs/>
                <w:color w:val="auto"/>
                <w:spacing w:val="10"/>
                <w:sz w:val="24"/>
                <w:szCs w:val="24"/>
                <w:highlight w:val="none"/>
              </w:rPr>
              <w:t>措</w:t>
            </w:r>
          </w:p>
          <w:p w14:paraId="35BEB9EF">
            <w:pPr>
              <w:keepNext w:val="0"/>
              <w:keepLines w:val="0"/>
              <w:pageBreakBefore w:val="0"/>
              <w:widowControl w:val="0"/>
              <w:wordWrap/>
              <w:topLinePunct w:val="0"/>
              <w:bidi w:val="0"/>
              <w:adjustRightInd w:val="0"/>
              <w:snapToGrid w:val="0"/>
              <w:jc w:val="center"/>
              <w:rPr>
                <w:rFonts w:hint="default" w:ascii="Times New Roman" w:hAnsi="Times New Roman" w:cs="Times New Roman"/>
                <w:bCs/>
                <w:color w:val="auto"/>
                <w:spacing w:val="10"/>
                <w:szCs w:val="21"/>
                <w:highlight w:val="none"/>
              </w:rPr>
            </w:pPr>
            <w:r>
              <w:rPr>
                <w:rFonts w:hint="default" w:ascii="Times New Roman" w:hAnsi="Times New Roman" w:cs="Times New Roman"/>
                <w:bCs/>
                <w:color w:val="auto"/>
                <w:spacing w:val="10"/>
                <w:sz w:val="24"/>
                <w:szCs w:val="24"/>
                <w:highlight w:val="none"/>
              </w:rPr>
              <w:t>施</w:t>
            </w:r>
          </w:p>
        </w:tc>
        <w:tc>
          <w:tcPr>
            <w:tcW w:w="4571" w:type="pct"/>
            <w:noWrap w:val="0"/>
            <w:vAlign w:val="top"/>
          </w:tcPr>
          <w:p w14:paraId="7C976F79">
            <w:pPr>
              <w:keepNext w:val="0"/>
              <w:keepLines w:val="0"/>
              <w:pageBreakBefore w:val="0"/>
              <w:widowControl w:val="0"/>
              <w:numPr>
                <w:ilvl w:val="0"/>
                <w:numId w:val="7"/>
              </w:numPr>
              <w:wordWrap/>
              <w:topLinePunct w:val="0"/>
              <w:bidi w:val="0"/>
              <w:spacing w:line="360" w:lineRule="auto"/>
              <w:rPr>
                <w:rFonts w:hint="default" w:ascii="Times New Roman" w:hAnsi="Times New Roman" w:eastAsia="宋体" w:cs="Times New Roman"/>
                <w:b/>
                <w:bCs/>
                <w:color w:val="auto"/>
                <w:sz w:val="24"/>
                <w:szCs w:val="24"/>
                <w:highlight w:val="none"/>
                <w:lang w:val="en-US" w:eastAsia="zh-CN"/>
              </w:rPr>
            </w:pPr>
            <w:r>
              <w:rPr>
                <w:rFonts w:hint="eastAsia" w:eastAsia="宋体" w:cs="Times New Roman"/>
                <w:b/>
                <w:bCs/>
                <w:color w:val="auto"/>
                <w:sz w:val="24"/>
                <w:szCs w:val="24"/>
                <w:highlight w:val="none"/>
                <w:lang w:val="en-US" w:eastAsia="zh-CN"/>
              </w:rPr>
              <w:t>大气环境保护措施</w:t>
            </w:r>
          </w:p>
          <w:p w14:paraId="553C914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color w:val="auto"/>
                <w:spacing w:val="-6"/>
                <w:sz w:val="24"/>
                <w:highlight w:val="none"/>
                <w:lang w:val="en-US" w:eastAsia="zh-CN"/>
              </w:rPr>
              <w:t xml:space="preserve">    本项目升压站内办公生活区冬季采用电采暖，不涉及锅炉等热源，运营期无废气产生。</w:t>
            </w:r>
          </w:p>
          <w:p w14:paraId="341CB5B8">
            <w:pPr>
              <w:keepNext w:val="0"/>
              <w:keepLines w:val="0"/>
              <w:pageBreakBefore w:val="0"/>
              <w:widowControl w:val="0"/>
              <w:numPr>
                <w:ilvl w:val="0"/>
                <w:numId w:val="7"/>
              </w:numPr>
              <w:wordWrap/>
              <w:topLinePunct w:val="0"/>
              <w:bidi w:val="0"/>
              <w:spacing w:line="360" w:lineRule="auto"/>
              <w:rPr>
                <w:rFonts w:hint="default" w:ascii="Times New Roman" w:hAnsi="Times New Roman" w:eastAsia="宋体" w:cs="Times New Roman"/>
                <w:b/>
                <w:bCs/>
                <w:color w:val="auto"/>
                <w:sz w:val="24"/>
                <w:szCs w:val="24"/>
                <w:highlight w:val="none"/>
                <w:lang w:val="en-US" w:eastAsia="zh-CN"/>
              </w:rPr>
            </w:pPr>
            <w:r>
              <w:rPr>
                <w:rFonts w:hint="eastAsia" w:eastAsia="宋体" w:cs="Times New Roman"/>
                <w:b/>
                <w:bCs/>
                <w:color w:val="auto"/>
                <w:sz w:val="24"/>
                <w:szCs w:val="24"/>
                <w:highlight w:val="none"/>
                <w:lang w:val="en-US" w:eastAsia="zh-CN"/>
              </w:rPr>
              <w:t>水环境保护措施</w:t>
            </w:r>
          </w:p>
          <w:p w14:paraId="5F4D63D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color w:val="auto"/>
                <w:spacing w:val="-6"/>
                <w:sz w:val="24"/>
                <w:highlight w:val="none"/>
                <w:lang w:val="en-US" w:eastAsia="zh-CN"/>
              </w:rPr>
              <w:t>本项目升压站运维人员产生的</w:t>
            </w:r>
            <w:r>
              <w:rPr>
                <w:rFonts w:hint="default" w:ascii="Times New Roman" w:hAnsi="Times New Roman" w:eastAsia="宋体" w:cs="Times New Roman"/>
                <w:color w:val="auto"/>
                <w:spacing w:val="-6"/>
                <w:sz w:val="24"/>
                <w:highlight w:val="none"/>
                <w:lang w:val="en-US" w:eastAsia="zh-CN"/>
              </w:rPr>
              <w:t>生活污水</w:t>
            </w:r>
            <w:r>
              <w:rPr>
                <w:rFonts w:hint="eastAsia" w:ascii="Times New Roman" w:hAnsi="Times New Roman" w:eastAsia="宋体" w:cs="Times New Roman"/>
                <w:color w:val="auto"/>
                <w:spacing w:val="-6"/>
                <w:sz w:val="24"/>
                <w:highlight w:val="none"/>
                <w:lang w:val="en-US" w:eastAsia="zh-CN"/>
              </w:rPr>
              <w:t>经管网进入园区污水处理厂处理，</w:t>
            </w:r>
            <w:r>
              <w:rPr>
                <w:rFonts w:hint="default" w:ascii="Times New Roman" w:hAnsi="Times New Roman" w:eastAsia="宋体" w:cs="Times New Roman"/>
                <w:color w:val="auto"/>
                <w:spacing w:val="-6"/>
                <w:sz w:val="24"/>
                <w:highlight w:val="none"/>
                <w:lang w:val="en-US" w:eastAsia="zh-CN"/>
              </w:rPr>
              <w:t>不外排</w:t>
            </w:r>
            <w:r>
              <w:rPr>
                <w:rFonts w:hint="eastAsia" w:ascii="Times New Roman" w:hAnsi="Times New Roman" w:eastAsia="宋体" w:cs="Times New Roman"/>
                <w:color w:val="auto"/>
                <w:spacing w:val="-6"/>
                <w:sz w:val="24"/>
                <w:highlight w:val="none"/>
                <w:lang w:val="en-US" w:eastAsia="zh-CN"/>
              </w:rPr>
              <w:t>，对外环境影响不大。</w:t>
            </w:r>
          </w:p>
          <w:p w14:paraId="53F7B04D">
            <w:pPr>
              <w:keepNext w:val="0"/>
              <w:keepLines w:val="0"/>
              <w:pageBreakBefore w:val="0"/>
              <w:widowControl w:val="0"/>
              <w:numPr>
                <w:ilvl w:val="0"/>
                <w:numId w:val="7"/>
              </w:numPr>
              <w:wordWrap/>
              <w:topLinePunct w:val="0"/>
              <w:bidi w:val="0"/>
              <w:spacing w:line="360" w:lineRule="auto"/>
              <w:rPr>
                <w:rFonts w:hint="default" w:ascii="Times New Roman" w:hAnsi="Times New Roman" w:eastAsia="宋体" w:cs="Times New Roman"/>
                <w:b/>
                <w:bCs/>
                <w:color w:val="auto"/>
                <w:sz w:val="24"/>
                <w:szCs w:val="24"/>
                <w:highlight w:val="none"/>
                <w:lang w:val="en-US" w:eastAsia="zh-CN"/>
              </w:rPr>
            </w:pPr>
            <w:r>
              <w:rPr>
                <w:rFonts w:hint="eastAsia" w:eastAsia="宋体" w:cs="Times New Roman"/>
                <w:b/>
                <w:bCs/>
                <w:color w:val="auto"/>
                <w:sz w:val="24"/>
                <w:szCs w:val="24"/>
                <w:highlight w:val="none"/>
                <w:lang w:val="en-US" w:eastAsia="zh-CN"/>
              </w:rPr>
              <w:t>声环境保护措施</w:t>
            </w:r>
          </w:p>
          <w:p w14:paraId="4A467AEC">
            <w:pPr>
              <w:keepNext w:val="0"/>
              <w:keepLines w:val="0"/>
              <w:pageBreakBefore w:val="0"/>
              <w:widowControl w:val="0"/>
              <w:tabs>
                <w:tab w:val="left" w:pos="6480"/>
              </w:tabs>
              <w:wordWrap/>
              <w:topLinePunct w:val="0"/>
              <w:bidi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（1）合理</w:t>
            </w:r>
            <w:r>
              <w:rPr>
                <w:rFonts w:hint="eastAsia" w:ascii="Times New Roman" w:hAnsi="Times New Roman" w:eastAsia="宋体" w:cs="Times New Roman"/>
                <w:color w:val="auto"/>
                <w:sz w:val="24"/>
                <w:szCs w:val="24"/>
                <w:highlight w:val="none"/>
                <w:lang w:val="en-US" w:eastAsia="zh-CN"/>
              </w:rPr>
              <w:t>储能电站</w:t>
            </w:r>
            <w:r>
              <w:rPr>
                <w:rFonts w:hint="default" w:ascii="Times New Roman" w:hAnsi="Times New Roman" w:eastAsia="宋体" w:cs="Times New Roman"/>
                <w:color w:val="auto"/>
                <w:sz w:val="24"/>
                <w:szCs w:val="24"/>
                <w:highlight w:val="none"/>
                <w:lang w:val="en-US" w:eastAsia="zh-CN"/>
              </w:rPr>
              <w:t>的平面布置，统筹安排建筑物，降低运行噪声对场界的影响；</w:t>
            </w:r>
          </w:p>
          <w:p w14:paraId="025655A3">
            <w:pPr>
              <w:keepNext w:val="0"/>
              <w:keepLines w:val="0"/>
              <w:pageBreakBefore w:val="0"/>
              <w:widowControl w:val="0"/>
              <w:tabs>
                <w:tab w:val="left" w:pos="6480"/>
              </w:tabs>
              <w:wordWrap/>
              <w:topLinePunct w:val="0"/>
              <w:bidi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（2）建设单位按照主变</w:t>
            </w:r>
            <w:r>
              <w:rPr>
                <w:rFonts w:hint="eastAsia" w:ascii="Times New Roman" w:hAnsi="Times New Roman" w:eastAsia="宋体" w:cs="Times New Roman"/>
                <w:color w:val="auto"/>
                <w:sz w:val="24"/>
                <w:szCs w:val="24"/>
                <w:highlight w:val="none"/>
                <w:lang w:val="en-US" w:eastAsia="zh-CN"/>
              </w:rPr>
              <w:t>、储能系统</w:t>
            </w:r>
            <w:r>
              <w:rPr>
                <w:rFonts w:hint="default" w:ascii="Times New Roman" w:hAnsi="Times New Roman" w:eastAsia="宋体" w:cs="Times New Roman"/>
                <w:color w:val="auto"/>
                <w:sz w:val="24"/>
                <w:szCs w:val="24"/>
                <w:highlight w:val="none"/>
                <w:lang w:val="en-US" w:eastAsia="zh-CN"/>
              </w:rPr>
              <w:t>等设备安装的有关规范进行安装；</w:t>
            </w:r>
          </w:p>
          <w:p w14:paraId="10AE4175">
            <w:pPr>
              <w:keepNext w:val="0"/>
              <w:keepLines w:val="0"/>
              <w:pageBreakBefore w:val="0"/>
              <w:widowControl w:val="0"/>
              <w:tabs>
                <w:tab w:val="left" w:pos="6480"/>
              </w:tabs>
              <w:wordWrap/>
              <w:topLinePunct w:val="0"/>
              <w:bidi w:val="0"/>
              <w:spacing w:line="360" w:lineRule="auto"/>
              <w:ind w:left="479" w:leftChars="228" w:firstLine="0" w:firstLineChars="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）采用低噪声设备，基础减振，设备关键部位设置隔声罩，</w:t>
            </w:r>
            <w:r>
              <w:rPr>
                <w:rFonts w:hint="eastAsia" w:ascii="Times New Roman" w:hAnsi="Times New Roman" w:eastAsia="宋体" w:cs="Times New Roman"/>
                <w:color w:val="auto"/>
                <w:sz w:val="24"/>
                <w:szCs w:val="24"/>
                <w:highlight w:val="none"/>
                <w:lang w:val="en-US" w:eastAsia="zh-CN"/>
              </w:rPr>
              <w:t>主变</w:t>
            </w:r>
          </w:p>
          <w:p w14:paraId="49A7A88F">
            <w:pPr>
              <w:keepNext w:val="0"/>
              <w:keepLines w:val="0"/>
              <w:pageBreakBefore w:val="0"/>
              <w:widowControl w:val="0"/>
              <w:tabs>
                <w:tab w:val="left" w:pos="6480"/>
              </w:tabs>
              <w:wordWrap/>
              <w:topLinePunct w:val="0"/>
              <w:bidi w:val="0"/>
              <w:spacing w:line="360" w:lineRule="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底座固定并垫橡胶垫；</w:t>
            </w:r>
          </w:p>
          <w:p w14:paraId="4C7DB262">
            <w:pPr>
              <w:keepNext w:val="0"/>
              <w:keepLines w:val="0"/>
              <w:pageBreakBefore w:val="0"/>
              <w:widowControl w:val="0"/>
              <w:tabs>
                <w:tab w:val="left" w:pos="6480"/>
              </w:tabs>
              <w:wordWrap/>
              <w:topLinePunct w:val="0"/>
              <w:bidi w:val="0"/>
              <w:spacing w:line="360" w:lineRule="auto"/>
              <w:ind w:left="479" w:leftChars="228" w:firstLine="0" w:firstLineChars="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）加强管理，定期对设备进行巡检</w:t>
            </w:r>
            <w:r>
              <w:rPr>
                <w:rFonts w:hint="eastAsia" w:ascii="Times New Roman" w:hAnsi="Times New Roman" w:eastAsia="宋体" w:cs="Times New Roman"/>
                <w:color w:val="auto"/>
                <w:sz w:val="24"/>
                <w:szCs w:val="24"/>
                <w:highlight w:val="none"/>
                <w:lang w:eastAsia="zh-CN"/>
              </w:rPr>
              <w:t>。</w:t>
            </w:r>
          </w:p>
          <w:p w14:paraId="1337A986">
            <w:pPr>
              <w:keepNext w:val="0"/>
              <w:keepLines w:val="0"/>
              <w:pageBreakBefore w:val="0"/>
              <w:widowControl w:val="0"/>
              <w:tabs>
                <w:tab w:val="left" w:pos="6480"/>
              </w:tabs>
              <w:wordWrap/>
              <w:topLinePunct w:val="0"/>
              <w:bidi w:val="0"/>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通过落实上述措施，运行期</w:t>
            </w:r>
            <w:r>
              <w:rPr>
                <w:rFonts w:hint="eastAsia" w:ascii="Times New Roman" w:hAnsi="Times New Roman" w:eastAsia="宋体" w:cs="Times New Roman"/>
                <w:color w:val="auto"/>
                <w:sz w:val="24"/>
                <w:szCs w:val="24"/>
                <w:highlight w:val="none"/>
                <w:lang w:val="en-US" w:eastAsia="zh-CN"/>
              </w:rPr>
              <w:t>储能电站</w:t>
            </w:r>
            <w:r>
              <w:rPr>
                <w:rFonts w:hint="default" w:ascii="Times New Roman" w:hAnsi="Times New Roman" w:eastAsia="宋体" w:cs="Times New Roman"/>
                <w:color w:val="auto"/>
                <w:sz w:val="24"/>
                <w:szCs w:val="24"/>
                <w:highlight w:val="none"/>
                <w:lang w:eastAsia="zh-CN"/>
              </w:rPr>
              <w:t>场界噪声满足《工业企业厂界环境噪声排放标准》（GB12348-2008）</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类标准限值，</w:t>
            </w:r>
            <w:r>
              <w:rPr>
                <w:rFonts w:hint="default" w:ascii="Times New Roman" w:hAnsi="Times New Roman" w:cs="Times New Roman"/>
                <w:color w:val="auto"/>
                <w:sz w:val="24"/>
                <w:highlight w:val="none"/>
              </w:rPr>
              <w:t>不会对周围环境产生明显影响。</w:t>
            </w:r>
          </w:p>
          <w:p w14:paraId="56F1A7D8">
            <w:pPr>
              <w:keepNext w:val="0"/>
              <w:keepLines w:val="0"/>
              <w:pageBreakBefore w:val="0"/>
              <w:widowControl w:val="0"/>
              <w:numPr>
                <w:ilvl w:val="0"/>
                <w:numId w:val="7"/>
              </w:numPr>
              <w:wordWrap/>
              <w:topLinePunct w:val="0"/>
              <w:bidi w:val="0"/>
              <w:spacing w:line="360" w:lineRule="auto"/>
              <w:rPr>
                <w:rFonts w:hint="default" w:ascii="Times New Roman" w:hAnsi="Times New Roman" w:eastAsia="宋体" w:cs="Times New Roman"/>
                <w:b/>
                <w:bCs/>
                <w:color w:val="auto"/>
                <w:sz w:val="24"/>
                <w:szCs w:val="24"/>
                <w:highlight w:val="none"/>
                <w:lang w:val="en-US" w:eastAsia="zh-CN"/>
              </w:rPr>
            </w:pPr>
            <w:r>
              <w:rPr>
                <w:rFonts w:hint="eastAsia" w:eastAsia="宋体" w:cs="Times New Roman"/>
                <w:b/>
                <w:bCs/>
                <w:color w:val="auto"/>
                <w:sz w:val="24"/>
                <w:szCs w:val="24"/>
                <w:highlight w:val="none"/>
                <w:lang w:val="en-US" w:eastAsia="zh-CN"/>
              </w:rPr>
              <w:t>固体废物治理措施</w:t>
            </w:r>
          </w:p>
          <w:p w14:paraId="0FE5AD63">
            <w:pPr>
              <w:keepNext w:val="0"/>
              <w:keepLines w:val="0"/>
              <w:pageBreakBefore w:val="0"/>
              <w:widowControl w:val="0"/>
              <w:tabs>
                <w:tab w:val="left" w:pos="6480"/>
              </w:tabs>
              <w:wordWrap/>
              <w:topLinePunct w:val="0"/>
              <w:bidi w:val="0"/>
              <w:spacing w:line="360" w:lineRule="auto"/>
              <w:ind w:firstLine="482" w:firstLineChars="200"/>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4.1固废产生、处理处置及去向</w:t>
            </w:r>
          </w:p>
          <w:p w14:paraId="3CFAEB17">
            <w:pPr>
              <w:pStyle w:val="17"/>
              <w:keepNext w:val="0"/>
              <w:keepLines w:val="0"/>
              <w:pageBreakBefore w:val="0"/>
              <w:widowControl w:val="0"/>
              <w:kinsoku/>
              <w:wordWrap/>
              <w:overflowPunct/>
              <w:topLinePunct w:val="0"/>
              <w:autoSpaceDE/>
              <w:autoSpaceDN/>
              <w:bidi w:val="0"/>
              <w:adjustRightInd/>
              <w:snapToGrid/>
              <w:spacing w:before="0" w:beforeLines="0" w:after="0" w:afterLines="0"/>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本项目固废主要为值班人员生活垃圾、废变压器油、废润滑油、含油抹布</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废磷酸铁锂电池</w:t>
            </w:r>
            <w:r>
              <w:rPr>
                <w:rFonts w:hint="eastAsia" w:ascii="Times New Roman" w:hAnsi="Times New Roman" w:eastAsia="宋体" w:cs="Times New Roman"/>
                <w:color w:val="auto"/>
                <w:sz w:val="24"/>
                <w:szCs w:val="24"/>
                <w:highlight w:val="none"/>
                <w:lang w:val="en-US" w:eastAsia="zh-CN"/>
              </w:rPr>
              <w:t>、废钠离子电池、废旧铅酸蓄电池等</w:t>
            </w:r>
            <w:r>
              <w:rPr>
                <w:rFonts w:hint="default" w:ascii="Times New Roman" w:hAnsi="Times New Roman" w:eastAsia="宋体" w:cs="Times New Roman"/>
                <w:color w:val="auto"/>
                <w:sz w:val="24"/>
                <w:szCs w:val="24"/>
                <w:highlight w:val="none"/>
                <w:lang w:val="en-US" w:eastAsia="zh-CN"/>
              </w:rPr>
              <w:t>。</w:t>
            </w:r>
          </w:p>
          <w:p w14:paraId="31B59CD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（1）生活垃圾集中收集后，</w:t>
            </w:r>
            <w:r>
              <w:rPr>
                <w:rFonts w:hint="default" w:ascii="Times New Roman" w:hAnsi="Times New Roman" w:eastAsia="宋体" w:cs="Times New Roman"/>
                <w:color w:val="auto"/>
                <w:sz w:val="24"/>
                <w:szCs w:val="24"/>
                <w:highlight w:val="none"/>
                <w:lang w:val="en-US" w:eastAsia="zh-CN"/>
              </w:rPr>
              <w:t>定期自行清运至</w:t>
            </w:r>
            <w:r>
              <w:rPr>
                <w:rFonts w:hint="eastAsia" w:ascii="Times New Roman" w:hAnsi="Times New Roman" w:eastAsia="宋体" w:cs="Times New Roman"/>
                <w:color w:val="auto"/>
                <w:sz w:val="24"/>
                <w:szCs w:val="24"/>
                <w:highlight w:val="none"/>
                <w:lang w:val="en-US" w:eastAsia="zh-CN"/>
              </w:rPr>
              <w:t>附近</w:t>
            </w:r>
            <w:r>
              <w:rPr>
                <w:rFonts w:hint="default" w:ascii="Times New Roman" w:hAnsi="Times New Roman" w:eastAsia="宋体" w:cs="Times New Roman"/>
                <w:color w:val="auto"/>
                <w:sz w:val="24"/>
                <w:szCs w:val="24"/>
                <w:highlight w:val="none"/>
                <w:lang w:val="en-US" w:eastAsia="zh-CN"/>
              </w:rPr>
              <w:t>垃圾转运站</w:t>
            </w:r>
            <w:r>
              <w:rPr>
                <w:rFonts w:hint="default" w:ascii="Times New Roman" w:hAnsi="Times New Roman" w:eastAsia="宋体" w:cs="Times New Roman"/>
                <w:b w:val="0"/>
                <w:bCs w:val="0"/>
                <w:color w:val="auto"/>
                <w:kern w:val="0"/>
                <w:sz w:val="24"/>
                <w:szCs w:val="24"/>
                <w:highlight w:val="none"/>
                <w:lang w:val="en-US" w:eastAsia="zh-CN"/>
              </w:rPr>
              <w:t>。</w:t>
            </w:r>
          </w:p>
          <w:p w14:paraId="620FF418">
            <w:pPr>
              <w:keepNext w:val="0"/>
              <w:keepLines w:val="0"/>
              <w:pageBreakBefore w:val="0"/>
              <w:widowControl w:val="0"/>
              <w:tabs>
                <w:tab w:val="left" w:pos="6480"/>
              </w:tabs>
              <w:wordWrap/>
              <w:topLinePunct w:val="0"/>
              <w:bidi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w:t>
            </w:r>
            <w:r>
              <w:rPr>
                <w:rFonts w:hint="eastAsia" w:ascii="Times New Roman" w:hAnsi="Times New Roman" w:eastAsia="宋体" w:cs="Times New Roman"/>
                <w:b w:val="0"/>
                <w:bCs w:val="0"/>
                <w:color w:val="auto"/>
                <w:kern w:val="0"/>
                <w:sz w:val="24"/>
                <w:szCs w:val="24"/>
                <w:highlight w:val="none"/>
                <w:lang w:val="en-US" w:eastAsia="zh-CN"/>
              </w:rPr>
              <w:t>2</w:t>
            </w:r>
            <w:r>
              <w:rPr>
                <w:rFonts w:hint="default" w:ascii="Times New Roman" w:hAnsi="Times New Roman" w:eastAsia="宋体" w:cs="Times New Roman"/>
                <w:b w:val="0"/>
                <w:bCs w:val="0"/>
                <w:color w:val="auto"/>
                <w:kern w:val="0"/>
                <w:sz w:val="24"/>
                <w:szCs w:val="24"/>
                <w:highlight w:val="none"/>
                <w:lang w:val="en-US" w:eastAsia="zh-CN"/>
              </w:rPr>
              <w:t>）本次</w:t>
            </w:r>
            <w:r>
              <w:rPr>
                <w:rFonts w:hint="eastAsia" w:ascii="Times New Roman" w:hAnsi="Times New Roman" w:eastAsia="宋体" w:cs="Times New Roman"/>
                <w:b w:val="0"/>
                <w:bCs w:val="0"/>
                <w:color w:val="auto"/>
                <w:kern w:val="0"/>
                <w:sz w:val="24"/>
                <w:szCs w:val="24"/>
                <w:highlight w:val="none"/>
                <w:lang w:val="en-US" w:eastAsia="zh-CN"/>
              </w:rPr>
              <w:t>在</w:t>
            </w:r>
            <w:r>
              <w:rPr>
                <w:rFonts w:hint="default" w:ascii="Times New Roman" w:hAnsi="Times New Roman" w:eastAsia="宋体" w:cs="Times New Roman"/>
                <w:bCs/>
                <w:color w:val="auto"/>
                <w:sz w:val="24"/>
                <w:szCs w:val="24"/>
                <w:highlight w:val="none"/>
                <w:lang w:val="en-US" w:eastAsia="zh-CN"/>
              </w:rPr>
              <w:t>220kV升压站内</w:t>
            </w:r>
            <w:r>
              <w:rPr>
                <w:rFonts w:hint="default" w:ascii="Times New Roman" w:hAnsi="Times New Roman" w:eastAsia="宋体" w:cs="Times New Roman"/>
                <w:color w:val="auto"/>
                <w:sz w:val="24"/>
                <w:szCs w:val="24"/>
                <w:highlight w:val="none"/>
                <w:lang w:val="en-US" w:eastAsia="zh-CN"/>
              </w:rPr>
              <w:t>设置一个事故油池（</w:t>
            </w:r>
            <w:r>
              <w:rPr>
                <w:rFonts w:hint="eastAsia" w:ascii="Times New Roman" w:hAnsi="Times New Roman" w:eastAsia="宋体" w:cs="Times New Roman"/>
                <w:color w:val="auto"/>
                <w:sz w:val="24"/>
                <w:szCs w:val="24"/>
                <w:highlight w:val="none"/>
                <w:lang w:val="en-US" w:eastAsia="zh-CN"/>
              </w:rPr>
              <w:t>100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eastAsia="zh-CN"/>
              </w:rPr>
              <w:t>主变事故产生的废变压器油由事故油池收集，在</w:t>
            </w:r>
            <w:r>
              <w:rPr>
                <w:rFonts w:hint="eastAsia" w:ascii="Times New Roman" w:hAnsi="Times New Roman" w:eastAsia="宋体" w:cs="Times New Roman"/>
                <w:b w:val="0"/>
                <w:bCs w:val="0"/>
                <w:color w:val="auto"/>
                <w:kern w:val="0"/>
                <w:sz w:val="24"/>
                <w:szCs w:val="24"/>
                <w:highlight w:val="none"/>
                <w:lang w:val="en-US" w:eastAsia="zh-CN"/>
              </w:rPr>
              <w:t>升压</w:t>
            </w:r>
            <w:r>
              <w:rPr>
                <w:rFonts w:hint="default" w:ascii="Times New Roman" w:hAnsi="Times New Roman" w:eastAsia="宋体" w:cs="Times New Roman"/>
                <w:color w:val="auto"/>
                <w:sz w:val="24"/>
                <w:szCs w:val="24"/>
                <w:highlight w:val="none"/>
                <w:lang w:val="en-US" w:eastAsia="zh-CN"/>
              </w:rPr>
              <w:t>站内危废贮存库暂存，定期交由具有相关资质的单位进行回收处理，不在升压站内长时间储存。</w:t>
            </w:r>
          </w:p>
          <w:p w14:paraId="25E03C4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w:t>
            </w:r>
            <w:r>
              <w:rPr>
                <w:rFonts w:hint="eastAsia" w:ascii="Times New Roman" w:hAnsi="Times New Roman" w:eastAsia="宋体" w:cs="Times New Roman"/>
                <w:b w:val="0"/>
                <w:bCs w:val="0"/>
                <w:color w:val="auto"/>
                <w:kern w:val="0"/>
                <w:sz w:val="24"/>
                <w:szCs w:val="24"/>
                <w:highlight w:val="none"/>
                <w:lang w:val="en-US" w:eastAsia="zh-CN"/>
              </w:rPr>
              <w:t>3</w:t>
            </w:r>
            <w:r>
              <w:rPr>
                <w:rFonts w:hint="default" w:ascii="Times New Roman" w:hAnsi="Times New Roman" w:eastAsia="宋体" w:cs="Times New Roman"/>
                <w:b w:val="0"/>
                <w:bCs w:val="0"/>
                <w:color w:val="auto"/>
                <w:kern w:val="0"/>
                <w:sz w:val="24"/>
                <w:szCs w:val="24"/>
                <w:highlight w:val="none"/>
                <w:lang w:val="en-US" w:eastAsia="zh-CN"/>
              </w:rPr>
              <w:t>）在设备维修维护过程产生的含油抹布</w:t>
            </w:r>
            <w:r>
              <w:rPr>
                <w:rFonts w:hint="default" w:ascii="Times New Roman" w:hAnsi="Times New Roman" w:cs="Times New Roman"/>
                <w:bCs/>
                <w:color w:val="auto"/>
                <w:sz w:val="24"/>
                <w:highlight w:val="none"/>
                <w:shd w:val="clear" w:color="auto" w:fill="auto"/>
              </w:rPr>
              <w:t>分类收集，</w:t>
            </w:r>
            <w:r>
              <w:rPr>
                <w:rFonts w:hint="default" w:ascii="Times New Roman" w:hAnsi="Times New Roman" w:cs="Times New Roman"/>
                <w:bCs/>
                <w:color w:val="auto"/>
                <w:sz w:val="24"/>
                <w:highlight w:val="none"/>
                <w:shd w:val="clear" w:color="auto" w:fill="auto"/>
                <w:lang w:val="en-US" w:eastAsia="zh-CN"/>
              </w:rPr>
              <w:t>按危险废物管理，</w:t>
            </w:r>
            <w:r>
              <w:rPr>
                <w:rFonts w:hint="default" w:ascii="Times New Roman" w:hAnsi="Times New Roman" w:cs="Times New Roman"/>
                <w:bCs/>
                <w:color w:val="auto"/>
                <w:sz w:val="24"/>
                <w:highlight w:val="none"/>
                <w:shd w:val="clear" w:color="auto" w:fill="auto"/>
              </w:rPr>
              <w:t>不得有意混入其他废物</w:t>
            </w:r>
            <w:r>
              <w:rPr>
                <w:rFonts w:hint="eastAsia" w:eastAsia="宋体" w:cs="Times New Roman"/>
                <w:b w:val="0"/>
                <w:bCs w:val="0"/>
                <w:color w:val="auto"/>
                <w:kern w:val="0"/>
                <w:sz w:val="24"/>
                <w:szCs w:val="24"/>
                <w:highlight w:val="none"/>
                <w:lang w:val="en-US" w:eastAsia="zh-CN"/>
              </w:rPr>
              <w:t>。</w:t>
            </w:r>
          </w:p>
          <w:p w14:paraId="22D0E56A">
            <w:pPr>
              <w:keepNext w:val="0"/>
              <w:keepLines w:val="0"/>
              <w:pageBreakBefore w:val="0"/>
              <w:widowControl w:val="0"/>
              <w:tabs>
                <w:tab w:val="left" w:pos="6480"/>
              </w:tabs>
              <w:wordWrap/>
              <w:topLinePunct w:val="0"/>
              <w:bidi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w:t>
            </w:r>
            <w:r>
              <w:rPr>
                <w:rFonts w:hint="eastAsia" w:ascii="Times New Roman" w:hAnsi="Times New Roman" w:eastAsia="宋体" w:cs="Times New Roman"/>
                <w:b w:val="0"/>
                <w:bCs w:val="0"/>
                <w:color w:val="auto"/>
                <w:kern w:val="0"/>
                <w:sz w:val="24"/>
                <w:szCs w:val="24"/>
                <w:highlight w:val="none"/>
                <w:lang w:val="en-US" w:eastAsia="zh-CN"/>
              </w:rPr>
              <w:t>4</w:t>
            </w:r>
            <w:r>
              <w:rPr>
                <w:rFonts w:hint="default" w:ascii="Times New Roman" w:hAnsi="Times New Roman" w:eastAsia="宋体" w:cs="Times New Roman"/>
                <w:b w:val="0"/>
                <w:bCs w:val="0"/>
                <w:color w:val="auto"/>
                <w:kern w:val="0"/>
                <w:sz w:val="24"/>
                <w:szCs w:val="24"/>
                <w:highlight w:val="none"/>
                <w:lang w:val="en-US" w:eastAsia="zh-CN"/>
              </w:rPr>
              <w:t>）设备维修过程中产生的废润滑油</w:t>
            </w:r>
            <w:r>
              <w:rPr>
                <w:rFonts w:hint="default" w:ascii="Times New Roman" w:hAnsi="Times New Roman" w:eastAsia="宋体" w:cs="Times New Roman"/>
                <w:color w:val="auto"/>
                <w:sz w:val="24"/>
                <w:szCs w:val="24"/>
                <w:highlight w:val="none"/>
                <w:lang w:val="en-US" w:eastAsia="zh-CN"/>
              </w:rPr>
              <w:t>暂存于站内危废贮存库，定期交由危废处理资质单位处理。</w:t>
            </w:r>
          </w:p>
          <w:p w14:paraId="77AECD49">
            <w:pPr>
              <w:pStyle w:val="17"/>
              <w:keepNext w:val="0"/>
              <w:keepLines w:val="0"/>
              <w:pageBreakBefore w:val="0"/>
              <w:widowControl w:val="0"/>
              <w:kinsoku/>
              <w:wordWrap/>
              <w:overflowPunct/>
              <w:topLinePunct w:val="0"/>
              <w:autoSpaceDE/>
              <w:autoSpaceDN/>
              <w:bidi w:val="0"/>
              <w:adjustRightInd/>
              <w:snapToGrid/>
              <w:spacing w:before="0" w:beforeLines="0" w:after="0" w:afterLines="0"/>
              <w:ind w:left="0" w:leftChars="0" w:firstLine="480" w:firstLineChars="200"/>
              <w:textAlignment w:val="auto"/>
              <w:rPr>
                <w:rFonts w:hint="default" w:ascii="Times New Roman" w:hAnsi="Times New Roman" w:eastAsia="宋体" w:cs="Times New Roman"/>
                <w:color w:val="auto"/>
                <w:sz w:val="24"/>
                <w:szCs w:val="24"/>
                <w:highlight w:val="none"/>
                <w:u w:val="none"/>
                <w:lang w:eastAsia="zh-CN"/>
              </w:rPr>
            </w:pPr>
            <w:r>
              <w:rPr>
                <w:rFonts w:hint="default" w:ascii="Times New Roman" w:hAnsi="Times New Roman" w:eastAsia="宋体" w:cs="Times New Roman"/>
                <w:b w:val="0"/>
                <w:bCs w:val="0"/>
                <w:color w:val="auto"/>
                <w:kern w:val="0"/>
                <w:sz w:val="24"/>
                <w:szCs w:val="24"/>
                <w:highlight w:val="none"/>
                <w:lang w:val="en-US" w:eastAsia="zh-CN"/>
              </w:rPr>
              <w:t>（</w:t>
            </w:r>
            <w:r>
              <w:rPr>
                <w:rFonts w:hint="eastAsia" w:ascii="Times New Roman" w:hAnsi="Times New Roman" w:eastAsia="宋体" w:cs="Times New Roman"/>
                <w:b w:val="0"/>
                <w:bCs w:val="0"/>
                <w:color w:val="auto"/>
                <w:kern w:val="0"/>
                <w:sz w:val="24"/>
                <w:szCs w:val="24"/>
                <w:highlight w:val="none"/>
                <w:lang w:val="en-US" w:eastAsia="zh-CN"/>
              </w:rPr>
              <w:t>5</w:t>
            </w:r>
            <w:r>
              <w:rPr>
                <w:rFonts w:hint="default" w:ascii="Times New Roman" w:hAnsi="Times New Roman" w:eastAsia="宋体" w:cs="Times New Roman"/>
                <w:b w:val="0"/>
                <w:bCs w:val="0"/>
                <w:color w:val="auto"/>
                <w:kern w:val="0"/>
                <w:sz w:val="24"/>
                <w:szCs w:val="24"/>
                <w:highlight w:val="none"/>
                <w:lang w:val="en-US" w:eastAsia="zh-CN"/>
              </w:rPr>
              <w:t>）储能系统产生的</w:t>
            </w:r>
            <w:r>
              <w:rPr>
                <w:rFonts w:hint="default" w:ascii="Times New Roman" w:hAnsi="Times New Roman" w:eastAsia="宋体" w:cs="Times New Roman"/>
                <w:color w:val="auto"/>
                <w:kern w:val="2"/>
                <w:sz w:val="24"/>
                <w:szCs w:val="24"/>
                <w:highlight w:val="none"/>
                <w:lang w:val="en-US" w:eastAsia="zh-CN" w:bidi="ar-SA"/>
              </w:rPr>
              <w:t>废磷酸铁锂电池</w:t>
            </w:r>
            <w:r>
              <w:rPr>
                <w:rFonts w:hint="eastAsia"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rPr>
              <w:t>废钠离子电池</w:t>
            </w:r>
            <w:r>
              <w:rPr>
                <w:rFonts w:hint="default" w:ascii="Times New Roman" w:hAnsi="Times New Roman" w:eastAsia="宋体" w:cs="Times New Roman"/>
                <w:color w:val="auto"/>
                <w:kern w:val="2"/>
                <w:sz w:val="24"/>
                <w:szCs w:val="24"/>
                <w:highlight w:val="none"/>
                <w:lang w:val="en-US" w:eastAsia="zh-CN" w:bidi="ar-SA"/>
              </w:rPr>
              <w:t>为一般工业固废，由厂家回收。</w:t>
            </w:r>
          </w:p>
          <w:p w14:paraId="3C61B0A1">
            <w:pPr>
              <w:keepNext w:val="0"/>
              <w:keepLines w:val="0"/>
              <w:pageBreakBefore w:val="0"/>
              <w:widowControl w:val="0"/>
              <w:numPr>
                <w:ilvl w:val="0"/>
                <w:numId w:val="0"/>
              </w:numPr>
              <w:tabs>
                <w:tab w:val="left" w:pos="6480"/>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6"/>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w:t>
            </w:r>
            <w:r>
              <w:rPr>
                <w:rFonts w:hint="eastAsia" w:ascii="Times New Roman" w:hAnsi="Times New Roman" w:eastAsia="宋体" w:cs="Times New Roman"/>
                <w:b w:val="0"/>
                <w:bCs w:val="0"/>
                <w:color w:val="auto"/>
                <w:kern w:val="0"/>
                <w:sz w:val="24"/>
                <w:szCs w:val="24"/>
                <w:highlight w:val="none"/>
                <w:lang w:val="en-US" w:eastAsia="zh-CN"/>
              </w:rPr>
              <w:t>6</w:t>
            </w:r>
            <w:r>
              <w:rPr>
                <w:rFonts w:hint="default" w:ascii="Times New Roman" w:hAnsi="Times New Roman" w:eastAsia="宋体" w:cs="Times New Roman"/>
                <w:b w:val="0"/>
                <w:bCs w:val="0"/>
                <w:color w:val="auto"/>
                <w:kern w:val="0"/>
                <w:sz w:val="24"/>
                <w:szCs w:val="24"/>
                <w:highlight w:val="none"/>
                <w:lang w:val="en-US" w:eastAsia="zh-CN"/>
              </w:rPr>
              <w:t>）主变产生的废旧蓄电池属于“HW31非特定行业”中的</w:t>
            </w:r>
            <w:r>
              <w:rPr>
                <w:rFonts w:hint="default" w:ascii="Times New Roman" w:hAnsi="Times New Roman" w:eastAsia="宋体" w:cs="Times New Roman"/>
                <w:b w:val="0"/>
                <w:bCs w:val="0"/>
                <w:color w:val="auto"/>
                <w:kern w:val="0"/>
                <w:sz w:val="24"/>
                <w:szCs w:val="24"/>
                <w:highlight w:val="none"/>
                <w:lang w:val="en-US" w:eastAsia="zh-CN" w:bidi="ar-SA"/>
              </w:rPr>
              <w:t>“</w:t>
            </w:r>
            <w:r>
              <w:rPr>
                <w:rFonts w:hint="default" w:ascii="Times New Roman" w:hAnsi="Times New Roman" w:eastAsia="宋体" w:cs="Times New Roman"/>
                <w:b w:val="0"/>
                <w:bCs w:val="0"/>
                <w:color w:val="auto"/>
                <w:kern w:val="0"/>
                <w:sz w:val="24"/>
                <w:szCs w:val="24"/>
                <w:highlight w:val="none"/>
                <w:lang w:val="en-US" w:eastAsia="zh-CN"/>
              </w:rPr>
              <w:t>废铅</w:t>
            </w:r>
            <w:r>
              <w:rPr>
                <w:rFonts w:hint="default" w:ascii="Times New Roman" w:hAnsi="Times New Roman" w:eastAsia="宋体" w:cs="Times New Roman"/>
                <w:b w:val="0"/>
                <w:bCs w:val="0"/>
                <w:color w:val="auto"/>
                <w:kern w:val="0"/>
                <w:sz w:val="24"/>
                <w:szCs w:val="24"/>
                <w:highlight w:val="none"/>
                <w:lang w:val="en-US" w:eastAsia="zh-CN" w:bidi="ar-SA"/>
              </w:rPr>
              <w:t>蓄电池”，废物代码为900-052-31，</w:t>
            </w:r>
            <w:r>
              <w:rPr>
                <w:rFonts w:hint="default" w:ascii="Times New Roman" w:hAnsi="Times New Roman" w:eastAsia="宋体" w:cs="Times New Roman"/>
                <w:color w:val="auto"/>
                <w:spacing w:val="-6"/>
                <w:sz w:val="24"/>
                <w:szCs w:val="24"/>
                <w:highlight w:val="none"/>
                <w:lang w:val="en-US" w:eastAsia="zh-CN"/>
              </w:rPr>
              <w:t>暂存于危废贮存库，定期交由危废处理资质单位处理。</w:t>
            </w:r>
          </w:p>
          <w:p w14:paraId="7E1A75E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4.2一般工业固体废物环境管理要求</w:t>
            </w:r>
          </w:p>
          <w:p w14:paraId="5AEA45CD">
            <w:pPr>
              <w:pStyle w:val="17"/>
              <w:keepNext w:val="0"/>
              <w:keepLines w:val="0"/>
              <w:pageBreakBefore w:val="0"/>
              <w:widowControl w:val="0"/>
              <w:kinsoku/>
              <w:wordWrap/>
              <w:overflowPunct/>
              <w:topLinePunct w:val="0"/>
              <w:autoSpaceDE/>
              <w:autoSpaceDN/>
              <w:bidi w:val="0"/>
              <w:adjustRightInd/>
              <w:snapToGrid/>
              <w:spacing w:before="0" w:beforeLines="0" w:after="0" w:afterLines="0"/>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本项目</w:t>
            </w:r>
            <w:r>
              <w:rPr>
                <w:rFonts w:hint="eastAsia" w:ascii="Times New Roman" w:hAnsi="Times New Roman" w:eastAsia="宋体" w:cs="Times New Roman"/>
                <w:b w:val="0"/>
                <w:bCs w:val="0"/>
                <w:color w:val="auto"/>
                <w:kern w:val="0"/>
                <w:sz w:val="24"/>
                <w:szCs w:val="24"/>
                <w:highlight w:val="none"/>
                <w:lang w:val="en-US" w:eastAsia="zh-CN"/>
              </w:rPr>
              <w:t>升压站内</w:t>
            </w:r>
            <w:r>
              <w:rPr>
                <w:rFonts w:hint="default" w:ascii="Times New Roman" w:hAnsi="Times New Roman" w:eastAsia="宋体" w:cs="Times New Roman"/>
                <w:b w:val="0"/>
                <w:bCs w:val="0"/>
                <w:color w:val="auto"/>
                <w:kern w:val="0"/>
                <w:sz w:val="24"/>
                <w:szCs w:val="24"/>
                <w:highlight w:val="none"/>
                <w:lang w:val="en-US" w:eastAsia="zh-CN"/>
              </w:rPr>
              <w:t>设置专用库房用于集中收集废磷酸铁锂电池</w:t>
            </w:r>
            <w:r>
              <w:rPr>
                <w:rFonts w:hint="eastAsia" w:ascii="Times New Roman" w:hAnsi="Times New Roman" w:eastAsia="宋体" w:cs="Times New Roman"/>
                <w:b w:val="0"/>
                <w:bCs w:val="0"/>
                <w:color w:val="auto"/>
                <w:kern w:val="0"/>
                <w:sz w:val="24"/>
                <w:szCs w:val="24"/>
                <w:highlight w:val="none"/>
                <w:lang w:val="en-US" w:eastAsia="zh-CN"/>
              </w:rPr>
              <w:t>、废钠离子电池</w:t>
            </w:r>
            <w:r>
              <w:rPr>
                <w:rFonts w:hint="default" w:ascii="Times New Roman" w:hAnsi="Times New Roman" w:eastAsia="宋体" w:cs="Times New Roman"/>
                <w:b w:val="0"/>
                <w:bCs w:val="0"/>
                <w:color w:val="auto"/>
                <w:kern w:val="0"/>
                <w:sz w:val="24"/>
                <w:szCs w:val="24"/>
                <w:highlight w:val="none"/>
                <w:lang w:val="en-US" w:eastAsia="zh-CN"/>
              </w:rPr>
              <w:t>，废磷酸铁锂电池</w:t>
            </w:r>
            <w:r>
              <w:rPr>
                <w:rFonts w:hint="eastAsia" w:ascii="Times New Roman" w:hAnsi="Times New Roman" w:eastAsia="宋体" w:cs="Times New Roman"/>
                <w:b w:val="0"/>
                <w:bCs w:val="0"/>
                <w:color w:val="auto"/>
                <w:kern w:val="0"/>
                <w:sz w:val="24"/>
                <w:szCs w:val="24"/>
                <w:highlight w:val="none"/>
                <w:lang w:val="en-US" w:eastAsia="zh-CN"/>
              </w:rPr>
              <w:t>、废钠离子电池</w:t>
            </w:r>
            <w:r>
              <w:rPr>
                <w:rFonts w:hint="default" w:ascii="Times New Roman" w:hAnsi="Times New Roman" w:eastAsia="宋体" w:cs="Times New Roman"/>
                <w:b w:val="0"/>
                <w:bCs w:val="0"/>
                <w:color w:val="auto"/>
                <w:kern w:val="0"/>
                <w:sz w:val="24"/>
                <w:szCs w:val="24"/>
                <w:highlight w:val="none"/>
                <w:lang w:val="en-US" w:eastAsia="zh-CN"/>
              </w:rPr>
              <w:t>定期由厂家回收，</w:t>
            </w:r>
            <w:r>
              <w:rPr>
                <w:rFonts w:hint="default" w:ascii="Times New Roman" w:hAnsi="Times New Roman" w:eastAsia="宋体" w:cs="Times New Roman"/>
                <w:color w:val="auto"/>
                <w:sz w:val="24"/>
                <w:szCs w:val="24"/>
                <w:highlight w:val="none"/>
                <w:lang w:val="en-US" w:eastAsia="zh-CN"/>
              </w:rPr>
              <w:t>库房为封闭结构，容量满足临时贮存要求，污染防治措施满足《一般工业固体废物贮存和填埋污染控制标准》（GB18599-2020）中防渗漏、防雨淋防扬尘等相关要求。</w:t>
            </w:r>
          </w:p>
          <w:p w14:paraId="1776E914">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4.3危险废物环境管理要求</w:t>
            </w:r>
          </w:p>
          <w:p w14:paraId="400494F3">
            <w:pPr>
              <w:pStyle w:val="17"/>
              <w:keepNext w:val="0"/>
              <w:keepLines w:val="0"/>
              <w:pageBreakBefore w:val="0"/>
              <w:widowControl w:val="0"/>
              <w:kinsoku/>
              <w:wordWrap/>
              <w:overflowPunct/>
              <w:topLinePunct w:val="0"/>
              <w:autoSpaceDE/>
              <w:autoSpaceDN/>
              <w:bidi w:val="0"/>
              <w:adjustRightInd/>
              <w:snapToGrid/>
              <w:spacing w:before="0" w:beforeLines="0" w:after="0" w:afterLines="0"/>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运营期产生的废变压器油、废润滑油、含油抹布、废旧蓄电池</w:t>
            </w:r>
            <w:r>
              <w:rPr>
                <w:rFonts w:hint="default" w:ascii="Times New Roman" w:hAnsi="Times New Roman" w:eastAsia="宋体" w:cs="Times New Roman"/>
                <w:color w:val="auto"/>
                <w:sz w:val="24"/>
                <w:szCs w:val="24"/>
                <w:highlight w:val="none"/>
                <w:lang w:val="en-US" w:eastAsia="zh-CN"/>
              </w:rPr>
              <w:t>应按照危险废物管理，需建设符合《危险废物贮存污染控制标准》（GB18597-2023）要求的危险废物贮存库，危险废物转移必须符合《危险废物转移管理办法》，具体要求如下：</w:t>
            </w:r>
          </w:p>
          <w:p w14:paraId="6F245300">
            <w:pPr>
              <w:pStyle w:val="36"/>
              <w:keepNext w:val="0"/>
              <w:keepLines w:val="0"/>
              <w:pageBreakBefore w:val="0"/>
              <w:widowControl w:val="0"/>
              <w:wordWrap/>
              <w:topLinePunct w:val="0"/>
              <w:bidi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r>
              <w:rPr>
                <w:rFonts w:hint="default" w:ascii="Times New Roman" w:hAnsi="Times New Roman" w:cs="Times New Roman"/>
                <w:color w:val="auto"/>
                <w:highlight w:val="none"/>
                <w:lang w:eastAsia="zh-CN"/>
              </w:rPr>
              <w:t>危险废物贮存库</w:t>
            </w:r>
            <w:r>
              <w:rPr>
                <w:rFonts w:hint="default" w:ascii="Times New Roman" w:hAnsi="Times New Roman" w:cs="Times New Roman"/>
                <w:color w:val="auto"/>
                <w:highlight w:val="none"/>
              </w:rPr>
              <w:t>概况</w:t>
            </w:r>
          </w:p>
          <w:p w14:paraId="67342656">
            <w:pPr>
              <w:keepNext w:val="0"/>
              <w:keepLines w:val="0"/>
              <w:pageBreakBefore w:val="0"/>
              <w:widowControl w:val="0"/>
              <w:wordWrap/>
              <w:topLinePunct w:val="0"/>
              <w:bidi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危险废物贮存间建设为封闭轻钢结构，设专人管理；场地基础结构稳定，不易发生自然灾害；远离居民区、地表水及高压输电线路；内部良好的照明设备和通风条件，选址符合《危险废物贮存污染控制标准》（GB18597-2023）中选址要求。</w:t>
            </w:r>
          </w:p>
          <w:p w14:paraId="3435FA67">
            <w:pPr>
              <w:keepNext w:val="0"/>
              <w:keepLines w:val="0"/>
              <w:pageBreakBefore w:val="0"/>
              <w:widowControl w:val="0"/>
              <w:wordWrap/>
              <w:topLinePunct w:val="0"/>
              <w:bidi w:val="0"/>
              <w:spacing w:before="0" w:after="0" w:line="360" w:lineRule="auto"/>
              <w:ind w:firstLine="480" w:firstLineChars="200"/>
              <w:rPr>
                <w:rFonts w:hint="default" w:ascii="Times New Roman" w:hAnsi="Times New Roman" w:eastAsia="宋体" w:cs="Times New Roman"/>
                <w:color w:val="auto"/>
                <w:sz w:val="21"/>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本项目危险废物贮存库基本情况见表5-1。</w:t>
            </w:r>
          </w:p>
          <w:p w14:paraId="65FAFD11">
            <w:pPr>
              <w:pStyle w:val="37"/>
              <w:keepNext w:val="0"/>
              <w:keepLines w:val="0"/>
              <w:pageBreakBefore w:val="0"/>
              <w:widowControl w:val="0"/>
              <w:wordWrap/>
              <w:topLinePunct w:val="0"/>
              <w:bidi w:val="0"/>
              <w:spacing w:before="0" w:after="0" w:afterLines="0" w:line="240" w:lineRule="auto"/>
              <w:ind w:firstLine="0"/>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表</w:t>
            </w:r>
            <w:r>
              <w:rPr>
                <w:rFonts w:hint="default" w:ascii="Times New Roman" w:hAnsi="Times New Roman" w:eastAsia="宋体" w:cs="Times New Roman"/>
                <w:b/>
                <w:bCs/>
                <w:color w:val="auto"/>
                <w:sz w:val="21"/>
                <w:szCs w:val="21"/>
                <w:highlight w:val="none"/>
                <w:u w:val="none"/>
                <w:lang w:val="en-US" w:eastAsia="zh-CN"/>
              </w:rPr>
              <w:t xml:space="preserve">5-1 </w:t>
            </w:r>
            <w:r>
              <w:rPr>
                <w:rFonts w:hint="eastAsia" w:ascii="Times New Roman" w:eastAsia="宋体" w:cs="Times New Roman"/>
                <w:b/>
                <w:bCs/>
                <w:color w:val="auto"/>
                <w:sz w:val="21"/>
                <w:szCs w:val="21"/>
                <w:highlight w:val="none"/>
                <w:u w:val="none"/>
                <w:lang w:val="en-US" w:eastAsia="zh-CN"/>
              </w:rPr>
              <w:t xml:space="preserve">  </w:t>
            </w:r>
            <w:r>
              <w:rPr>
                <w:rFonts w:hint="default" w:ascii="Times New Roman" w:hAnsi="Times New Roman" w:eastAsia="宋体" w:cs="Times New Roman"/>
                <w:b/>
                <w:bCs/>
                <w:color w:val="auto"/>
                <w:sz w:val="21"/>
                <w:szCs w:val="21"/>
                <w:highlight w:val="none"/>
                <w:u w:val="none"/>
                <w:lang w:eastAsia="zh-CN"/>
              </w:rPr>
              <w:t>危险废物贮存场所</w:t>
            </w:r>
            <w:r>
              <w:rPr>
                <w:rFonts w:hint="default" w:ascii="Times New Roman" w:hAnsi="Times New Roman" w:eastAsia="宋体" w:cs="Times New Roman"/>
                <w:b/>
                <w:bCs/>
                <w:color w:val="auto"/>
                <w:sz w:val="21"/>
                <w:szCs w:val="21"/>
                <w:highlight w:val="none"/>
                <w:u w:val="none"/>
              </w:rPr>
              <w:t>基本情况</w:t>
            </w:r>
          </w:p>
          <w:tbl>
            <w:tblPr>
              <w:tblStyle w:val="1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1066"/>
              <w:gridCol w:w="1208"/>
              <w:gridCol w:w="1208"/>
              <w:gridCol w:w="454"/>
              <w:gridCol w:w="673"/>
              <w:gridCol w:w="775"/>
              <w:gridCol w:w="749"/>
              <w:gridCol w:w="669"/>
            </w:tblGrid>
            <w:tr w14:paraId="3666D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7" w:type="pct"/>
                  <w:tcBorders>
                    <w:tl2br w:val="nil"/>
                    <w:tr2bl w:val="nil"/>
                  </w:tcBorders>
                  <w:noWrap w:val="0"/>
                  <w:vAlign w:val="center"/>
                </w:tcPr>
                <w:p w14:paraId="55E17EFF">
                  <w:pPr>
                    <w:keepNext w:val="0"/>
                    <w:keepLines w:val="0"/>
                    <w:pageBreakBefore w:val="0"/>
                    <w:widowControl w:val="0"/>
                    <w:wordWrap/>
                    <w:topLinePunct w:val="0"/>
                    <w:bidi w:val="0"/>
                    <w:adjustRightInd w:val="0"/>
                    <w:snapToGrid w:val="0"/>
                    <w:spacing w:before="0" w:after="0" w:line="240" w:lineRule="auto"/>
                    <w:ind w:firstLine="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贮存场所（设施）名称</w:t>
                  </w:r>
                </w:p>
              </w:tc>
              <w:tc>
                <w:tcPr>
                  <w:tcW w:w="697" w:type="pct"/>
                  <w:tcBorders>
                    <w:tl2br w:val="nil"/>
                    <w:tr2bl w:val="nil"/>
                  </w:tcBorders>
                  <w:noWrap w:val="0"/>
                  <w:vAlign w:val="center"/>
                </w:tcPr>
                <w:p w14:paraId="637227C6">
                  <w:pPr>
                    <w:keepNext w:val="0"/>
                    <w:keepLines w:val="0"/>
                    <w:pageBreakBefore w:val="0"/>
                    <w:widowControl w:val="0"/>
                    <w:wordWrap/>
                    <w:topLinePunct w:val="0"/>
                    <w:bidi w:val="0"/>
                    <w:adjustRightInd w:val="0"/>
                    <w:snapToGrid w:val="0"/>
                    <w:spacing w:before="0" w:after="0" w:line="240" w:lineRule="auto"/>
                    <w:ind w:firstLine="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危险废物名称</w:t>
                  </w:r>
                </w:p>
              </w:tc>
              <w:tc>
                <w:tcPr>
                  <w:tcW w:w="790" w:type="pct"/>
                  <w:tcBorders>
                    <w:tl2br w:val="nil"/>
                    <w:tr2bl w:val="nil"/>
                  </w:tcBorders>
                  <w:noWrap w:val="0"/>
                  <w:vAlign w:val="center"/>
                </w:tcPr>
                <w:p w14:paraId="6C0E79D1">
                  <w:pPr>
                    <w:keepNext w:val="0"/>
                    <w:keepLines w:val="0"/>
                    <w:pageBreakBefore w:val="0"/>
                    <w:widowControl w:val="0"/>
                    <w:wordWrap/>
                    <w:topLinePunct w:val="0"/>
                    <w:bidi w:val="0"/>
                    <w:adjustRightInd w:val="0"/>
                    <w:snapToGrid w:val="0"/>
                    <w:spacing w:before="0" w:after="0" w:line="240" w:lineRule="auto"/>
                    <w:ind w:firstLine="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危险废物类别</w:t>
                  </w:r>
                </w:p>
              </w:tc>
              <w:tc>
                <w:tcPr>
                  <w:tcW w:w="790" w:type="pct"/>
                  <w:tcBorders>
                    <w:tl2br w:val="nil"/>
                    <w:tr2bl w:val="nil"/>
                  </w:tcBorders>
                  <w:noWrap w:val="0"/>
                  <w:vAlign w:val="center"/>
                </w:tcPr>
                <w:p w14:paraId="51573D74">
                  <w:pPr>
                    <w:keepNext w:val="0"/>
                    <w:keepLines w:val="0"/>
                    <w:pageBreakBefore w:val="0"/>
                    <w:widowControl w:val="0"/>
                    <w:wordWrap/>
                    <w:topLinePunct w:val="0"/>
                    <w:bidi w:val="0"/>
                    <w:adjustRightInd w:val="0"/>
                    <w:snapToGrid w:val="0"/>
                    <w:spacing w:before="0" w:after="0" w:line="240" w:lineRule="auto"/>
                    <w:ind w:firstLine="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危险废物</w:t>
                  </w:r>
                </w:p>
                <w:p w14:paraId="271A07CD">
                  <w:pPr>
                    <w:keepNext w:val="0"/>
                    <w:keepLines w:val="0"/>
                    <w:pageBreakBefore w:val="0"/>
                    <w:widowControl w:val="0"/>
                    <w:wordWrap/>
                    <w:topLinePunct w:val="0"/>
                    <w:bidi w:val="0"/>
                    <w:adjustRightInd w:val="0"/>
                    <w:snapToGrid w:val="0"/>
                    <w:spacing w:before="0" w:after="0" w:line="240" w:lineRule="auto"/>
                    <w:ind w:firstLine="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代码</w:t>
                  </w:r>
                </w:p>
              </w:tc>
              <w:tc>
                <w:tcPr>
                  <w:tcW w:w="297" w:type="pct"/>
                  <w:tcBorders>
                    <w:tl2br w:val="nil"/>
                    <w:tr2bl w:val="nil"/>
                  </w:tcBorders>
                  <w:noWrap w:val="0"/>
                  <w:vAlign w:val="center"/>
                </w:tcPr>
                <w:p w14:paraId="6CA655C5">
                  <w:pPr>
                    <w:keepNext w:val="0"/>
                    <w:keepLines w:val="0"/>
                    <w:pageBreakBefore w:val="0"/>
                    <w:widowControl w:val="0"/>
                    <w:wordWrap/>
                    <w:topLinePunct w:val="0"/>
                    <w:bidi w:val="0"/>
                    <w:adjustRightInd w:val="0"/>
                    <w:snapToGrid w:val="0"/>
                    <w:spacing w:before="0" w:after="0" w:line="240" w:lineRule="auto"/>
                    <w:ind w:firstLine="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位置</w:t>
                  </w:r>
                </w:p>
              </w:tc>
              <w:tc>
                <w:tcPr>
                  <w:tcW w:w="440" w:type="pct"/>
                  <w:tcBorders>
                    <w:tl2br w:val="nil"/>
                    <w:tr2bl w:val="nil"/>
                  </w:tcBorders>
                  <w:noWrap w:val="0"/>
                  <w:vAlign w:val="center"/>
                </w:tcPr>
                <w:p w14:paraId="3B38AC5A">
                  <w:pPr>
                    <w:keepNext w:val="0"/>
                    <w:keepLines w:val="0"/>
                    <w:pageBreakBefore w:val="0"/>
                    <w:widowControl w:val="0"/>
                    <w:wordWrap/>
                    <w:topLinePunct w:val="0"/>
                    <w:bidi w:val="0"/>
                    <w:adjustRightInd w:val="0"/>
                    <w:snapToGrid w:val="0"/>
                    <w:spacing w:before="0" w:after="0" w:line="240" w:lineRule="auto"/>
                    <w:ind w:firstLine="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占地</w:t>
                  </w:r>
                </w:p>
                <w:p w14:paraId="2D420F51">
                  <w:pPr>
                    <w:keepNext w:val="0"/>
                    <w:keepLines w:val="0"/>
                    <w:pageBreakBefore w:val="0"/>
                    <w:widowControl w:val="0"/>
                    <w:wordWrap/>
                    <w:topLinePunct w:val="0"/>
                    <w:bidi w:val="0"/>
                    <w:adjustRightInd w:val="0"/>
                    <w:snapToGrid w:val="0"/>
                    <w:spacing w:before="0" w:after="0" w:line="240" w:lineRule="auto"/>
                    <w:ind w:firstLine="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面积</w:t>
                  </w:r>
                  <w:r>
                    <w:rPr>
                      <w:rFonts w:hint="default" w:ascii="Times New Roman" w:hAnsi="Times New Roman" w:eastAsia="宋体" w:cs="Times New Roman"/>
                      <w:color w:val="auto"/>
                      <w:kern w:val="0"/>
                      <w:sz w:val="21"/>
                      <w:szCs w:val="21"/>
                      <w:highlight w:val="none"/>
                      <w:u w:val="none"/>
                      <w:lang w:val="en-US" w:eastAsia="zh-CN"/>
                    </w:rPr>
                    <w:t>m</w:t>
                  </w:r>
                  <w:r>
                    <w:rPr>
                      <w:rFonts w:hint="default" w:ascii="Times New Roman" w:hAnsi="Times New Roman" w:eastAsia="宋体" w:cs="Times New Roman"/>
                      <w:color w:val="auto"/>
                      <w:kern w:val="0"/>
                      <w:sz w:val="21"/>
                      <w:szCs w:val="21"/>
                      <w:highlight w:val="none"/>
                      <w:u w:val="none"/>
                      <w:vertAlign w:val="superscript"/>
                      <w:lang w:val="en-US" w:eastAsia="zh-CN"/>
                    </w:rPr>
                    <w:t>2</w:t>
                  </w:r>
                </w:p>
              </w:tc>
              <w:tc>
                <w:tcPr>
                  <w:tcW w:w="507" w:type="pct"/>
                  <w:tcBorders>
                    <w:tl2br w:val="nil"/>
                    <w:tr2bl w:val="nil"/>
                  </w:tcBorders>
                  <w:noWrap w:val="0"/>
                  <w:vAlign w:val="center"/>
                </w:tcPr>
                <w:p w14:paraId="5D06F690">
                  <w:pPr>
                    <w:keepNext w:val="0"/>
                    <w:keepLines w:val="0"/>
                    <w:pageBreakBefore w:val="0"/>
                    <w:widowControl w:val="0"/>
                    <w:wordWrap/>
                    <w:topLinePunct w:val="0"/>
                    <w:bidi w:val="0"/>
                    <w:adjustRightInd w:val="0"/>
                    <w:snapToGrid w:val="0"/>
                    <w:spacing w:before="0" w:after="0" w:line="240" w:lineRule="auto"/>
                    <w:ind w:firstLine="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贮存</w:t>
                  </w:r>
                </w:p>
                <w:p w14:paraId="6FD65516">
                  <w:pPr>
                    <w:keepNext w:val="0"/>
                    <w:keepLines w:val="0"/>
                    <w:pageBreakBefore w:val="0"/>
                    <w:widowControl w:val="0"/>
                    <w:wordWrap/>
                    <w:topLinePunct w:val="0"/>
                    <w:bidi w:val="0"/>
                    <w:adjustRightInd w:val="0"/>
                    <w:snapToGrid w:val="0"/>
                    <w:spacing w:before="0" w:after="0" w:line="240" w:lineRule="auto"/>
                    <w:ind w:firstLine="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方式</w:t>
                  </w:r>
                </w:p>
              </w:tc>
              <w:tc>
                <w:tcPr>
                  <w:tcW w:w="490" w:type="pct"/>
                  <w:tcBorders>
                    <w:tl2br w:val="nil"/>
                    <w:tr2bl w:val="nil"/>
                  </w:tcBorders>
                  <w:noWrap w:val="0"/>
                  <w:vAlign w:val="center"/>
                </w:tcPr>
                <w:p w14:paraId="4C495906">
                  <w:pPr>
                    <w:keepNext w:val="0"/>
                    <w:keepLines w:val="0"/>
                    <w:pageBreakBefore w:val="0"/>
                    <w:widowControl w:val="0"/>
                    <w:wordWrap/>
                    <w:topLinePunct w:val="0"/>
                    <w:bidi w:val="0"/>
                    <w:adjustRightInd w:val="0"/>
                    <w:snapToGrid w:val="0"/>
                    <w:spacing w:before="0" w:after="0" w:line="240" w:lineRule="auto"/>
                    <w:ind w:firstLine="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贮存</w:t>
                  </w:r>
                </w:p>
                <w:p w14:paraId="73A7345E">
                  <w:pPr>
                    <w:keepNext w:val="0"/>
                    <w:keepLines w:val="0"/>
                    <w:pageBreakBefore w:val="0"/>
                    <w:widowControl w:val="0"/>
                    <w:wordWrap/>
                    <w:topLinePunct w:val="0"/>
                    <w:bidi w:val="0"/>
                    <w:adjustRightInd w:val="0"/>
                    <w:snapToGrid w:val="0"/>
                    <w:spacing w:before="0" w:after="0" w:line="240" w:lineRule="auto"/>
                    <w:ind w:firstLine="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能力</w:t>
                  </w:r>
                </w:p>
              </w:tc>
              <w:tc>
                <w:tcPr>
                  <w:tcW w:w="437" w:type="pct"/>
                  <w:tcBorders>
                    <w:tl2br w:val="nil"/>
                    <w:tr2bl w:val="nil"/>
                  </w:tcBorders>
                  <w:noWrap w:val="0"/>
                  <w:vAlign w:val="center"/>
                </w:tcPr>
                <w:p w14:paraId="005A89E0">
                  <w:pPr>
                    <w:keepNext w:val="0"/>
                    <w:keepLines w:val="0"/>
                    <w:pageBreakBefore w:val="0"/>
                    <w:widowControl w:val="0"/>
                    <w:wordWrap/>
                    <w:topLinePunct w:val="0"/>
                    <w:bidi w:val="0"/>
                    <w:adjustRightInd w:val="0"/>
                    <w:snapToGrid w:val="0"/>
                    <w:spacing w:before="0" w:after="0" w:line="240" w:lineRule="auto"/>
                    <w:ind w:firstLine="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贮存</w:t>
                  </w:r>
                </w:p>
                <w:p w14:paraId="00846F09">
                  <w:pPr>
                    <w:keepNext w:val="0"/>
                    <w:keepLines w:val="0"/>
                    <w:pageBreakBefore w:val="0"/>
                    <w:widowControl w:val="0"/>
                    <w:wordWrap/>
                    <w:topLinePunct w:val="0"/>
                    <w:bidi w:val="0"/>
                    <w:adjustRightInd w:val="0"/>
                    <w:snapToGrid w:val="0"/>
                    <w:spacing w:before="0" w:after="0" w:line="240" w:lineRule="auto"/>
                    <w:ind w:firstLine="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周期</w:t>
                  </w:r>
                </w:p>
              </w:tc>
            </w:tr>
            <w:tr w14:paraId="7BCC6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7" w:type="pct"/>
                  <w:vMerge w:val="restart"/>
                  <w:tcBorders>
                    <w:tl2br w:val="nil"/>
                    <w:tr2bl w:val="nil"/>
                  </w:tcBorders>
                  <w:noWrap w:val="0"/>
                  <w:vAlign w:val="center"/>
                </w:tcPr>
                <w:p w14:paraId="39ED3A40">
                  <w:pPr>
                    <w:keepNext w:val="0"/>
                    <w:keepLines w:val="0"/>
                    <w:pageBreakBefore w:val="0"/>
                    <w:widowControl w:val="0"/>
                    <w:wordWrap/>
                    <w:topLinePunct w:val="0"/>
                    <w:bidi w:val="0"/>
                    <w:adjustRightInd w:val="0"/>
                    <w:snapToGrid w:val="0"/>
                    <w:spacing w:before="0" w:after="0" w:line="240" w:lineRule="auto"/>
                    <w:ind w:firstLine="0"/>
                    <w:jc w:val="center"/>
                    <w:rPr>
                      <w:rFonts w:hint="default" w:ascii="Times New Roman" w:hAnsi="Times New Roman" w:eastAsia="宋体" w:cs="Times New Roman"/>
                      <w:color w:val="auto"/>
                      <w:sz w:val="21"/>
                      <w:szCs w:val="21"/>
                      <w:highlight w:val="none"/>
                      <w:u w:val="none"/>
                      <w:lang w:val="en-US"/>
                    </w:rPr>
                  </w:pPr>
                  <w:r>
                    <w:rPr>
                      <w:rFonts w:hint="default" w:ascii="Times New Roman" w:hAnsi="Times New Roman" w:eastAsia="宋体" w:cs="Times New Roman"/>
                      <w:bCs/>
                      <w:color w:val="auto"/>
                      <w:sz w:val="21"/>
                      <w:szCs w:val="21"/>
                      <w:highlight w:val="none"/>
                      <w:lang w:val="en-US" w:eastAsia="zh-CN"/>
                    </w:rPr>
                    <w:t>220kV升压</w:t>
                  </w:r>
                  <w:r>
                    <w:rPr>
                      <w:rFonts w:hint="eastAsia" w:ascii="Times New Roman" w:hAnsi="Times New Roman" w:eastAsia="宋体" w:cs="Times New Roman"/>
                      <w:bCs/>
                      <w:color w:val="auto"/>
                      <w:sz w:val="21"/>
                      <w:szCs w:val="21"/>
                      <w:highlight w:val="none"/>
                      <w:lang w:val="en-US" w:eastAsia="zh-CN"/>
                    </w:rPr>
                    <w:t>站</w:t>
                  </w:r>
                  <w:r>
                    <w:rPr>
                      <w:rFonts w:hint="default" w:ascii="Times New Roman" w:hAnsi="Times New Roman" w:eastAsia="宋体" w:cs="Times New Roman"/>
                      <w:color w:val="auto"/>
                      <w:sz w:val="21"/>
                      <w:szCs w:val="21"/>
                      <w:highlight w:val="none"/>
                      <w:u w:val="none"/>
                      <w:lang w:eastAsia="zh-CN"/>
                    </w:rPr>
                    <w:t>危险废物贮存</w:t>
                  </w:r>
                  <w:r>
                    <w:rPr>
                      <w:rFonts w:hint="eastAsia" w:ascii="Times New Roman" w:hAnsi="Times New Roman" w:eastAsia="宋体" w:cs="Times New Roman"/>
                      <w:color w:val="auto"/>
                      <w:sz w:val="21"/>
                      <w:szCs w:val="21"/>
                      <w:highlight w:val="none"/>
                      <w:u w:val="none"/>
                      <w:lang w:val="en-US" w:eastAsia="zh-CN"/>
                    </w:rPr>
                    <w:t>库</w:t>
                  </w:r>
                </w:p>
              </w:tc>
              <w:tc>
                <w:tcPr>
                  <w:tcW w:w="697" w:type="pct"/>
                  <w:tcBorders>
                    <w:tl2br w:val="nil"/>
                    <w:tr2bl w:val="nil"/>
                  </w:tcBorders>
                  <w:noWrap w:val="0"/>
                  <w:vAlign w:val="center"/>
                </w:tcPr>
                <w:p w14:paraId="4ACBE583">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变压</w:t>
                  </w:r>
                </w:p>
                <w:p w14:paraId="52ACA85E">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器油</w:t>
                  </w:r>
                </w:p>
              </w:tc>
              <w:tc>
                <w:tcPr>
                  <w:tcW w:w="790" w:type="pct"/>
                  <w:tcBorders>
                    <w:tl2br w:val="nil"/>
                    <w:tr2bl w:val="nil"/>
                  </w:tcBorders>
                  <w:noWrap w:val="0"/>
                  <w:vAlign w:val="center"/>
                </w:tcPr>
                <w:p w14:paraId="2FCF0780">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危险废物（HW08）</w:t>
                  </w:r>
                </w:p>
              </w:tc>
              <w:tc>
                <w:tcPr>
                  <w:tcW w:w="790" w:type="pct"/>
                  <w:tcBorders>
                    <w:tl2br w:val="nil"/>
                    <w:tr2bl w:val="nil"/>
                  </w:tcBorders>
                  <w:noWrap w:val="0"/>
                  <w:vAlign w:val="center"/>
                </w:tcPr>
                <w:p w14:paraId="41F64CE3">
                  <w:pPr>
                    <w:keepNext w:val="0"/>
                    <w:keepLines w:val="0"/>
                    <w:pageBreakBefore w:val="0"/>
                    <w:widowControl w:val="0"/>
                    <w:wordWrap/>
                    <w:topLinePunct w:val="0"/>
                    <w:bidi w:val="0"/>
                    <w:spacing w:before="0" w:after="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900-220-08</w:t>
                  </w:r>
                </w:p>
              </w:tc>
              <w:tc>
                <w:tcPr>
                  <w:tcW w:w="297" w:type="pct"/>
                  <w:vMerge w:val="restart"/>
                  <w:tcBorders>
                    <w:tl2br w:val="nil"/>
                    <w:tr2bl w:val="nil"/>
                  </w:tcBorders>
                  <w:noWrap w:val="0"/>
                  <w:vAlign w:val="center"/>
                </w:tcPr>
                <w:p w14:paraId="7C6133AC">
                  <w:pPr>
                    <w:keepNext w:val="0"/>
                    <w:keepLines w:val="0"/>
                    <w:pageBreakBefore w:val="0"/>
                    <w:widowControl w:val="0"/>
                    <w:wordWrap/>
                    <w:topLinePunct w:val="0"/>
                    <w:bidi w:val="0"/>
                    <w:adjustRightInd w:val="0"/>
                    <w:snapToGrid w:val="0"/>
                    <w:spacing w:before="0" w:after="0"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项目区</w:t>
                  </w:r>
                  <w:r>
                    <w:rPr>
                      <w:rFonts w:hint="eastAsia" w:ascii="Times New Roman" w:hAnsi="Times New Roman" w:eastAsia="宋体" w:cs="Times New Roman"/>
                      <w:color w:val="auto"/>
                      <w:kern w:val="2"/>
                      <w:sz w:val="21"/>
                      <w:szCs w:val="21"/>
                      <w:highlight w:val="none"/>
                      <w:u w:val="none"/>
                      <w:lang w:val="en-US" w:eastAsia="zh-CN" w:bidi="ar-SA"/>
                    </w:rPr>
                    <w:t>西南侧</w:t>
                  </w:r>
                </w:p>
              </w:tc>
              <w:tc>
                <w:tcPr>
                  <w:tcW w:w="440" w:type="pct"/>
                  <w:vMerge w:val="restart"/>
                  <w:tcBorders>
                    <w:tl2br w:val="nil"/>
                    <w:tr2bl w:val="nil"/>
                  </w:tcBorders>
                  <w:noWrap w:val="0"/>
                  <w:vAlign w:val="center"/>
                </w:tcPr>
                <w:p w14:paraId="002577BF">
                  <w:pPr>
                    <w:keepNext w:val="0"/>
                    <w:keepLines w:val="0"/>
                    <w:pageBreakBefore w:val="0"/>
                    <w:widowControl w:val="0"/>
                    <w:wordWrap/>
                    <w:topLinePunct w:val="0"/>
                    <w:bidi w:val="0"/>
                    <w:adjustRightInd w:val="0"/>
                    <w:snapToGrid w:val="0"/>
                    <w:spacing w:before="0" w:after="0" w:line="240" w:lineRule="auto"/>
                    <w:ind w:firstLine="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48.6</w:t>
                  </w:r>
                </w:p>
              </w:tc>
              <w:tc>
                <w:tcPr>
                  <w:tcW w:w="507" w:type="pct"/>
                  <w:tcBorders>
                    <w:tl2br w:val="nil"/>
                    <w:tr2bl w:val="nil"/>
                  </w:tcBorders>
                  <w:noWrap w:val="0"/>
                  <w:vAlign w:val="center"/>
                </w:tcPr>
                <w:p w14:paraId="36279B00">
                  <w:pPr>
                    <w:keepNext w:val="0"/>
                    <w:keepLines w:val="0"/>
                    <w:pageBreakBefore w:val="0"/>
                    <w:widowControl w:val="0"/>
                    <w:wordWrap/>
                    <w:topLinePunct w:val="0"/>
                    <w:bidi w:val="0"/>
                    <w:adjustRightInd w:val="0"/>
                    <w:snapToGrid w:val="0"/>
                    <w:spacing w:before="0" w:after="0"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密闭</w:t>
                  </w:r>
                </w:p>
                <w:p w14:paraId="38F64D2F">
                  <w:pPr>
                    <w:keepNext w:val="0"/>
                    <w:keepLines w:val="0"/>
                    <w:pageBreakBefore w:val="0"/>
                    <w:widowControl w:val="0"/>
                    <w:wordWrap/>
                    <w:topLinePunct w:val="0"/>
                    <w:bidi w:val="0"/>
                    <w:adjustRightInd w:val="0"/>
                    <w:snapToGrid w:val="0"/>
                    <w:spacing w:before="0" w:after="0"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桶装</w:t>
                  </w:r>
                </w:p>
              </w:tc>
              <w:tc>
                <w:tcPr>
                  <w:tcW w:w="490" w:type="pct"/>
                  <w:tcBorders>
                    <w:tl2br w:val="nil"/>
                    <w:tr2bl w:val="nil"/>
                  </w:tcBorders>
                  <w:noWrap w:val="0"/>
                  <w:vAlign w:val="center"/>
                </w:tcPr>
                <w:p w14:paraId="3C6C5855">
                  <w:pPr>
                    <w:pStyle w:val="17"/>
                    <w:keepNext w:val="0"/>
                    <w:keepLines w:val="0"/>
                    <w:pageBreakBefore w:val="0"/>
                    <w:widowControl w:val="0"/>
                    <w:wordWrap/>
                    <w:topLinePunct w:val="0"/>
                    <w:bidi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0.25</w:t>
                  </w:r>
                </w:p>
              </w:tc>
              <w:tc>
                <w:tcPr>
                  <w:tcW w:w="437" w:type="pct"/>
                  <w:tcBorders>
                    <w:tl2br w:val="nil"/>
                    <w:tr2bl w:val="nil"/>
                  </w:tcBorders>
                  <w:noWrap w:val="0"/>
                  <w:vAlign w:val="center"/>
                </w:tcPr>
                <w:p w14:paraId="455B81E7">
                  <w:pPr>
                    <w:keepNext w:val="0"/>
                    <w:keepLines w:val="0"/>
                    <w:pageBreakBefore w:val="0"/>
                    <w:widowControl w:val="0"/>
                    <w:wordWrap/>
                    <w:topLinePunct w:val="0"/>
                    <w:bidi w:val="0"/>
                    <w:adjustRightInd w:val="0"/>
                    <w:snapToGrid w:val="0"/>
                    <w:spacing w:before="0" w:after="0"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rPr>
                    <w:t>半年</w:t>
                  </w:r>
                </w:p>
              </w:tc>
            </w:tr>
            <w:tr w14:paraId="69814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547" w:type="pct"/>
                  <w:vMerge w:val="continue"/>
                  <w:tcBorders>
                    <w:tl2br w:val="nil"/>
                    <w:tr2bl w:val="nil"/>
                  </w:tcBorders>
                  <w:noWrap w:val="0"/>
                  <w:vAlign w:val="center"/>
                </w:tcPr>
                <w:p w14:paraId="15AE76B4">
                  <w:pPr>
                    <w:keepNext w:val="0"/>
                    <w:keepLines w:val="0"/>
                    <w:pageBreakBefore w:val="0"/>
                    <w:widowControl w:val="0"/>
                    <w:wordWrap/>
                    <w:topLinePunct w:val="0"/>
                    <w:bidi w:val="0"/>
                    <w:adjustRightInd w:val="0"/>
                    <w:snapToGrid w:val="0"/>
                    <w:spacing w:before="0" w:after="0" w:line="240" w:lineRule="auto"/>
                    <w:ind w:firstLine="0"/>
                    <w:jc w:val="center"/>
                    <w:rPr>
                      <w:rFonts w:hint="default" w:ascii="Times New Roman" w:hAnsi="Times New Roman" w:eastAsia="宋体" w:cs="Times New Roman"/>
                      <w:color w:val="auto"/>
                      <w:sz w:val="21"/>
                      <w:szCs w:val="21"/>
                      <w:highlight w:val="none"/>
                      <w:u w:val="none"/>
                    </w:rPr>
                  </w:pPr>
                </w:p>
              </w:tc>
              <w:tc>
                <w:tcPr>
                  <w:tcW w:w="697" w:type="pct"/>
                  <w:tcBorders>
                    <w:tl2br w:val="nil"/>
                    <w:tr2bl w:val="nil"/>
                  </w:tcBorders>
                  <w:noWrap w:val="0"/>
                  <w:vAlign w:val="center"/>
                </w:tcPr>
                <w:p w14:paraId="3056C0DF">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废润</w:t>
                  </w:r>
                </w:p>
                <w:p w14:paraId="55650524">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滑油</w:t>
                  </w:r>
                </w:p>
              </w:tc>
              <w:tc>
                <w:tcPr>
                  <w:tcW w:w="790" w:type="pct"/>
                  <w:tcBorders>
                    <w:tl2br w:val="nil"/>
                    <w:tr2bl w:val="nil"/>
                  </w:tcBorders>
                  <w:noWrap w:val="0"/>
                  <w:vAlign w:val="center"/>
                </w:tcPr>
                <w:p w14:paraId="4C9F50D3">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危险废物（HW08）</w:t>
                  </w:r>
                </w:p>
              </w:tc>
              <w:tc>
                <w:tcPr>
                  <w:tcW w:w="790" w:type="pct"/>
                  <w:tcBorders>
                    <w:tl2br w:val="nil"/>
                    <w:tr2bl w:val="nil"/>
                  </w:tcBorders>
                  <w:noWrap w:val="0"/>
                  <w:vAlign w:val="center"/>
                </w:tcPr>
                <w:p w14:paraId="60195A78">
                  <w:pPr>
                    <w:keepNext w:val="0"/>
                    <w:keepLines w:val="0"/>
                    <w:pageBreakBefore w:val="0"/>
                    <w:widowControl w:val="0"/>
                    <w:wordWrap/>
                    <w:topLinePunct w:val="0"/>
                    <w:bidi w:val="0"/>
                    <w:spacing w:before="0" w:after="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900-214-08</w:t>
                  </w:r>
                </w:p>
              </w:tc>
              <w:tc>
                <w:tcPr>
                  <w:tcW w:w="297" w:type="pct"/>
                  <w:vMerge w:val="continue"/>
                  <w:tcBorders>
                    <w:tl2br w:val="nil"/>
                    <w:tr2bl w:val="nil"/>
                  </w:tcBorders>
                  <w:noWrap w:val="0"/>
                  <w:vAlign w:val="center"/>
                </w:tcPr>
                <w:p w14:paraId="0D9FD3F1">
                  <w:pPr>
                    <w:keepNext w:val="0"/>
                    <w:keepLines w:val="0"/>
                    <w:pageBreakBefore w:val="0"/>
                    <w:widowControl w:val="0"/>
                    <w:wordWrap/>
                    <w:topLinePunct w:val="0"/>
                    <w:bidi w:val="0"/>
                    <w:adjustRightInd w:val="0"/>
                    <w:snapToGrid w:val="0"/>
                    <w:spacing w:before="0" w:after="0" w:line="240" w:lineRule="auto"/>
                    <w:ind w:firstLine="0"/>
                    <w:jc w:val="center"/>
                    <w:rPr>
                      <w:rFonts w:hint="default" w:ascii="Times New Roman" w:hAnsi="Times New Roman" w:eastAsia="宋体" w:cs="Times New Roman"/>
                      <w:color w:val="auto"/>
                      <w:sz w:val="21"/>
                      <w:szCs w:val="21"/>
                      <w:highlight w:val="none"/>
                      <w:u w:val="none"/>
                    </w:rPr>
                  </w:pPr>
                </w:p>
              </w:tc>
              <w:tc>
                <w:tcPr>
                  <w:tcW w:w="440" w:type="pct"/>
                  <w:vMerge w:val="continue"/>
                  <w:tcBorders>
                    <w:tl2br w:val="nil"/>
                    <w:tr2bl w:val="nil"/>
                  </w:tcBorders>
                  <w:noWrap w:val="0"/>
                  <w:vAlign w:val="center"/>
                </w:tcPr>
                <w:p w14:paraId="708FCE15">
                  <w:pPr>
                    <w:keepNext w:val="0"/>
                    <w:keepLines w:val="0"/>
                    <w:pageBreakBefore w:val="0"/>
                    <w:widowControl w:val="0"/>
                    <w:wordWrap/>
                    <w:topLinePunct w:val="0"/>
                    <w:bidi w:val="0"/>
                    <w:adjustRightInd w:val="0"/>
                    <w:snapToGrid w:val="0"/>
                    <w:spacing w:before="0" w:after="0" w:line="240" w:lineRule="auto"/>
                    <w:ind w:firstLine="0"/>
                    <w:jc w:val="center"/>
                    <w:rPr>
                      <w:rFonts w:hint="default" w:ascii="Times New Roman" w:hAnsi="Times New Roman" w:eastAsia="宋体" w:cs="Times New Roman"/>
                      <w:color w:val="auto"/>
                      <w:sz w:val="21"/>
                      <w:szCs w:val="21"/>
                      <w:highlight w:val="none"/>
                      <w:u w:val="none"/>
                    </w:rPr>
                  </w:pPr>
                </w:p>
              </w:tc>
              <w:tc>
                <w:tcPr>
                  <w:tcW w:w="507" w:type="pct"/>
                  <w:tcBorders>
                    <w:tl2br w:val="nil"/>
                    <w:tr2bl w:val="nil"/>
                  </w:tcBorders>
                  <w:noWrap w:val="0"/>
                  <w:vAlign w:val="center"/>
                </w:tcPr>
                <w:p w14:paraId="7710318D">
                  <w:pPr>
                    <w:keepNext w:val="0"/>
                    <w:keepLines w:val="0"/>
                    <w:pageBreakBefore w:val="0"/>
                    <w:widowControl w:val="0"/>
                    <w:wordWrap/>
                    <w:topLinePunct w:val="0"/>
                    <w:bidi w:val="0"/>
                    <w:adjustRightInd w:val="0"/>
                    <w:snapToGrid w:val="0"/>
                    <w:spacing w:before="0" w:after="0"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密闭</w:t>
                  </w:r>
                </w:p>
                <w:p w14:paraId="3D1EFAA2">
                  <w:pPr>
                    <w:keepNext w:val="0"/>
                    <w:keepLines w:val="0"/>
                    <w:pageBreakBefore w:val="0"/>
                    <w:widowControl w:val="0"/>
                    <w:wordWrap/>
                    <w:topLinePunct w:val="0"/>
                    <w:bidi w:val="0"/>
                    <w:adjustRightInd w:val="0"/>
                    <w:snapToGrid w:val="0"/>
                    <w:spacing w:before="0" w:after="0"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桶装</w:t>
                  </w:r>
                </w:p>
              </w:tc>
              <w:tc>
                <w:tcPr>
                  <w:tcW w:w="490" w:type="pct"/>
                  <w:tcBorders>
                    <w:tl2br w:val="nil"/>
                    <w:tr2bl w:val="nil"/>
                  </w:tcBorders>
                  <w:noWrap w:val="0"/>
                  <w:vAlign w:val="center"/>
                </w:tcPr>
                <w:p w14:paraId="4ACD23A5">
                  <w:pPr>
                    <w:keepNext w:val="0"/>
                    <w:keepLines w:val="0"/>
                    <w:pageBreakBefore w:val="0"/>
                    <w:widowControl w:val="0"/>
                    <w:wordWrap/>
                    <w:topLinePunct w:val="0"/>
                    <w:bidi w:val="0"/>
                    <w:adjustRightInd w:val="0"/>
                    <w:snapToGrid w:val="0"/>
                    <w:spacing w:before="0" w:after="0"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0.25</w:t>
                  </w:r>
                </w:p>
              </w:tc>
              <w:tc>
                <w:tcPr>
                  <w:tcW w:w="437" w:type="pct"/>
                  <w:tcBorders>
                    <w:tl2br w:val="nil"/>
                    <w:tr2bl w:val="nil"/>
                  </w:tcBorders>
                  <w:noWrap w:val="0"/>
                  <w:vAlign w:val="center"/>
                </w:tcPr>
                <w:p w14:paraId="19B3EE99">
                  <w:pPr>
                    <w:keepNext w:val="0"/>
                    <w:keepLines w:val="0"/>
                    <w:pageBreakBefore w:val="0"/>
                    <w:widowControl w:val="0"/>
                    <w:wordWrap/>
                    <w:topLinePunct w:val="0"/>
                    <w:bidi w:val="0"/>
                    <w:adjustRightInd w:val="0"/>
                    <w:snapToGrid w:val="0"/>
                    <w:spacing w:before="0" w:after="0"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rPr>
                    <w:t>半年</w:t>
                  </w:r>
                </w:p>
              </w:tc>
            </w:tr>
            <w:tr w14:paraId="0FD60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7" w:type="pct"/>
                  <w:vMerge w:val="continue"/>
                  <w:tcBorders>
                    <w:tl2br w:val="nil"/>
                    <w:tr2bl w:val="nil"/>
                  </w:tcBorders>
                  <w:noWrap w:val="0"/>
                  <w:vAlign w:val="center"/>
                </w:tcPr>
                <w:p w14:paraId="34A921C4">
                  <w:pPr>
                    <w:keepNext w:val="0"/>
                    <w:keepLines w:val="0"/>
                    <w:pageBreakBefore w:val="0"/>
                    <w:widowControl w:val="0"/>
                    <w:wordWrap/>
                    <w:topLinePunct w:val="0"/>
                    <w:bidi w:val="0"/>
                    <w:adjustRightInd w:val="0"/>
                    <w:snapToGrid w:val="0"/>
                    <w:spacing w:before="0" w:after="0" w:line="240" w:lineRule="auto"/>
                    <w:ind w:firstLine="0"/>
                    <w:jc w:val="center"/>
                    <w:rPr>
                      <w:rFonts w:hint="default" w:ascii="Times New Roman" w:hAnsi="Times New Roman" w:eastAsia="宋体" w:cs="Times New Roman"/>
                      <w:color w:val="auto"/>
                      <w:sz w:val="21"/>
                      <w:szCs w:val="21"/>
                      <w:highlight w:val="none"/>
                      <w:u w:val="none"/>
                    </w:rPr>
                  </w:pPr>
                </w:p>
              </w:tc>
              <w:tc>
                <w:tcPr>
                  <w:tcW w:w="697" w:type="pct"/>
                  <w:tcBorders>
                    <w:tl2br w:val="nil"/>
                    <w:tr2bl w:val="nil"/>
                  </w:tcBorders>
                  <w:noWrap w:val="0"/>
                  <w:vAlign w:val="center"/>
                </w:tcPr>
                <w:p w14:paraId="5A5E9E1C">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含油</w:t>
                  </w:r>
                </w:p>
                <w:p w14:paraId="311CAB71">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抹布</w:t>
                  </w:r>
                </w:p>
              </w:tc>
              <w:tc>
                <w:tcPr>
                  <w:tcW w:w="790" w:type="pct"/>
                  <w:tcBorders>
                    <w:tl2br w:val="nil"/>
                    <w:tr2bl w:val="nil"/>
                  </w:tcBorders>
                  <w:noWrap w:val="0"/>
                  <w:vAlign w:val="center"/>
                </w:tcPr>
                <w:p w14:paraId="0BBD8500">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危险废物（HW49）</w:t>
                  </w:r>
                </w:p>
              </w:tc>
              <w:tc>
                <w:tcPr>
                  <w:tcW w:w="790" w:type="pct"/>
                  <w:tcBorders>
                    <w:tl2br w:val="nil"/>
                    <w:tr2bl w:val="nil"/>
                  </w:tcBorders>
                  <w:noWrap w:val="0"/>
                  <w:vAlign w:val="center"/>
                </w:tcPr>
                <w:p w14:paraId="2A9F6AB4">
                  <w:pPr>
                    <w:keepNext w:val="0"/>
                    <w:keepLines w:val="0"/>
                    <w:pageBreakBefore w:val="0"/>
                    <w:widowControl w:val="0"/>
                    <w:wordWrap/>
                    <w:topLinePunct w:val="0"/>
                    <w:bidi w:val="0"/>
                    <w:spacing w:before="0" w:after="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900-041-49</w:t>
                  </w:r>
                </w:p>
              </w:tc>
              <w:tc>
                <w:tcPr>
                  <w:tcW w:w="297" w:type="pct"/>
                  <w:vMerge w:val="continue"/>
                  <w:tcBorders>
                    <w:tl2br w:val="nil"/>
                    <w:tr2bl w:val="nil"/>
                  </w:tcBorders>
                  <w:noWrap w:val="0"/>
                  <w:vAlign w:val="center"/>
                </w:tcPr>
                <w:p w14:paraId="7E672C1C">
                  <w:pPr>
                    <w:keepNext w:val="0"/>
                    <w:keepLines w:val="0"/>
                    <w:pageBreakBefore w:val="0"/>
                    <w:widowControl w:val="0"/>
                    <w:wordWrap/>
                    <w:topLinePunct w:val="0"/>
                    <w:bidi w:val="0"/>
                    <w:adjustRightInd w:val="0"/>
                    <w:snapToGrid w:val="0"/>
                    <w:spacing w:before="0" w:after="0" w:line="240" w:lineRule="auto"/>
                    <w:ind w:firstLine="0"/>
                    <w:jc w:val="center"/>
                    <w:rPr>
                      <w:rFonts w:hint="default" w:ascii="Times New Roman" w:hAnsi="Times New Roman" w:eastAsia="宋体" w:cs="Times New Roman"/>
                      <w:color w:val="auto"/>
                      <w:sz w:val="21"/>
                      <w:szCs w:val="21"/>
                      <w:highlight w:val="none"/>
                      <w:u w:val="none"/>
                    </w:rPr>
                  </w:pPr>
                </w:p>
              </w:tc>
              <w:tc>
                <w:tcPr>
                  <w:tcW w:w="440" w:type="pct"/>
                  <w:vMerge w:val="continue"/>
                  <w:tcBorders>
                    <w:tl2br w:val="nil"/>
                    <w:tr2bl w:val="nil"/>
                  </w:tcBorders>
                  <w:noWrap w:val="0"/>
                  <w:vAlign w:val="center"/>
                </w:tcPr>
                <w:p w14:paraId="1FAEB659">
                  <w:pPr>
                    <w:keepNext w:val="0"/>
                    <w:keepLines w:val="0"/>
                    <w:pageBreakBefore w:val="0"/>
                    <w:widowControl w:val="0"/>
                    <w:wordWrap/>
                    <w:topLinePunct w:val="0"/>
                    <w:bidi w:val="0"/>
                    <w:adjustRightInd w:val="0"/>
                    <w:snapToGrid w:val="0"/>
                    <w:spacing w:before="0" w:after="0" w:line="240" w:lineRule="auto"/>
                    <w:ind w:firstLine="0"/>
                    <w:jc w:val="center"/>
                    <w:rPr>
                      <w:rFonts w:hint="default" w:ascii="Times New Roman" w:hAnsi="Times New Roman" w:eastAsia="宋体" w:cs="Times New Roman"/>
                      <w:color w:val="auto"/>
                      <w:sz w:val="21"/>
                      <w:szCs w:val="21"/>
                      <w:highlight w:val="none"/>
                      <w:u w:val="none"/>
                    </w:rPr>
                  </w:pPr>
                </w:p>
              </w:tc>
              <w:tc>
                <w:tcPr>
                  <w:tcW w:w="507" w:type="pct"/>
                  <w:tcBorders>
                    <w:tl2br w:val="nil"/>
                    <w:tr2bl w:val="nil"/>
                  </w:tcBorders>
                  <w:noWrap w:val="0"/>
                  <w:vAlign w:val="center"/>
                </w:tcPr>
                <w:p w14:paraId="365FE900">
                  <w:pPr>
                    <w:keepNext w:val="0"/>
                    <w:keepLines w:val="0"/>
                    <w:pageBreakBefore w:val="0"/>
                    <w:widowControl w:val="0"/>
                    <w:wordWrap/>
                    <w:topLinePunct w:val="0"/>
                    <w:bidi w:val="0"/>
                    <w:adjustRightInd w:val="0"/>
                    <w:snapToGrid w:val="0"/>
                    <w:spacing w:before="0" w:after="0"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密闭</w:t>
                  </w:r>
                  <w:r>
                    <w:rPr>
                      <w:rFonts w:hint="default" w:ascii="Times New Roman" w:hAnsi="Times New Roman" w:eastAsia="宋体" w:cs="Times New Roman"/>
                      <w:color w:val="auto"/>
                      <w:kern w:val="2"/>
                      <w:sz w:val="21"/>
                      <w:szCs w:val="21"/>
                      <w:highlight w:val="none"/>
                      <w:u w:val="none"/>
                      <w:lang w:val="en-US" w:eastAsia="zh-CN" w:bidi="ar-SA"/>
                    </w:rPr>
                    <w:br w:type="textWrapping"/>
                  </w:r>
                  <w:r>
                    <w:rPr>
                      <w:rFonts w:hint="default" w:ascii="Times New Roman" w:hAnsi="Times New Roman" w:eastAsia="宋体" w:cs="Times New Roman"/>
                      <w:color w:val="auto"/>
                      <w:kern w:val="2"/>
                      <w:sz w:val="21"/>
                      <w:szCs w:val="21"/>
                      <w:highlight w:val="none"/>
                      <w:u w:val="none"/>
                      <w:lang w:val="en-US" w:eastAsia="zh-CN" w:bidi="ar-SA"/>
                    </w:rPr>
                    <w:t>袋装</w:t>
                  </w:r>
                </w:p>
              </w:tc>
              <w:tc>
                <w:tcPr>
                  <w:tcW w:w="490" w:type="pct"/>
                  <w:tcBorders>
                    <w:tl2br w:val="nil"/>
                    <w:tr2bl w:val="nil"/>
                  </w:tcBorders>
                  <w:noWrap w:val="0"/>
                  <w:vAlign w:val="center"/>
                </w:tcPr>
                <w:p w14:paraId="1C50CCE4">
                  <w:pPr>
                    <w:keepNext w:val="0"/>
                    <w:keepLines w:val="0"/>
                    <w:pageBreakBefore w:val="0"/>
                    <w:widowControl w:val="0"/>
                    <w:wordWrap/>
                    <w:topLinePunct w:val="0"/>
                    <w:bidi w:val="0"/>
                    <w:adjustRightInd w:val="0"/>
                    <w:snapToGrid w:val="0"/>
                    <w:spacing w:before="0" w:after="0"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0.1</w:t>
                  </w:r>
                </w:p>
              </w:tc>
              <w:tc>
                <w:tcPr>
                  <w:tcW w:w="437" w:type="pct"/>
                  <w:tcBorders>
                    <w:tl2br w:val="nil"/>
                    <w:tr2bl w:val="nil"/>
                  </w:tcBorders>
                  <w:noWrap w:val="0"/>
                  <w:vAlign w:val="center"/>
                </w:tcPr>
                <w:p w14:paraId="021EED22">
                  <w:pPr>
                    <w:keepNext w:val="0"/>
                    <w:keepLines w:val="0"/>
                    <w:pageBreakBefore w:val="0"/>
                    <w:widowControl w:val="0"/>
                    <w:wordWrap/>
                    <w:topLinePunct w:val="0"/>
                    <w:bidi w:val="0"/>
                    <w:adjustRightInd w:val="0"/>
                    <w:snapToGrid w:val="0"/>
                    <w:spacing w:before="0" w:after="0"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rPr>
                    <w:t>半年</w:t>
                  </w:r>
                </w:p>
              </w:tc>
            </w:tr>
            <w:tr w14:paraId="4A9B5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7" w:type="pct"/>
                  <w:vMerge w:val="continue"/>
                  <w:tcBorders>
                    <w:tl2br w:val="nil"/>
                    <w:tr2bl w:val="nil"/>
                  </w:tcBorders>
                  <w:noWrap w:val="0"/>
                  <w:vAlign w:val="center"/>
                </w:tcPr>
                <w:p w14:paraId="6DD9A5B9">
                  <w:pPr>
                    <w:keepNext w:val="0"/>
                    <w:keepLines w:val="0"/>
                    <w:pageBreakBefore w:val="0"/>
                    <w:widowControl w:val="0"/>
                    <w:wordWrap/>
                    <w:topLinePunct w:val="0"/>
                    <w:bidi w:val="0"/>
                    <w:adjustRightInd w:val="0"/>
                    <w:snapToGrid w:val="0"/>
                    <w:spacing w:before="0" w:after="0" w:line="240" w:lineRule="auto"/>
                    <w:ind w:firstLine="0"/>
                    <w:jc w:val="center"/>
                    <w:rPr>
                      <w:rFonts w:hint="default" w:ascii="Times New Roman" w:hAnsi="Times New Roman" w:eastAsia="宋体" w:cs="Times New Roman"/>
                      <w:color w:val="auto"/>
                      <w:sz w:val="21"/>
                      <w:szCs w:val="21"/>
                      <w:highlight w:val="none"/>
                      <w:u w:val="none"/>
                    </w:rPr>
                  </w:pPr>
                </w:p>
              </w:tc>
              <w:tc>
                <w:tcPr>
                  <w:tcW w:w="697" w:type="pct"/>
                  <w:tcBorders>
                    <w:tl2br w:val="nil"/>
                    <w:tr2bl w:val="nil"/>
                  </w:tcBorders>
                  <w:noWrap w:val="0"/>
                  <w:vAlign w:val="center"/>
                </w:tcPr>
                <w:p w14:paraId="6FFC7451">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废旧蓄电池</w:t>
                  </w:r>
                </w:p>
              </w:tc>
              <w:tc>
                <w:tcPr>
                  <w:tcW w:w="790" w:type="pct"/>
                  <w:tcBorders>
                    <w:tl2br w:val="nil"/>
                    <w:tr2bl w:val="nil"/>
                  </w:tcBorders>
                  <w:noWrap w:val="0"/>
                  <w:vAlign w:val="center"/>
                </w:tcPr>
                <w:p w14:paraId="1723DA11">
                  <w:pPr>
                    <w:pStyle w:val="3"/>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危险废物（HW31）</w:t>
                  </w:r>
                </w:p>
              </w:tc>
              <w:tc>
                <w:tcPr>
                  <w:tcW w:w="790" w:type="pct"/>
                  <w:tcBorders>
                    <w:tl2br w:val="nil"/>
                    <w:tr2bl w:val="nil"/>
                  </w:tcBorders>
                  <w:noWrap w:val="0"/>
                  <w:vAlign w:val="center"/>
                </w:tcPr>
                <w:p w14:paraId="5A2B8DB3">
                  <w:pPr>
                    <w:keepNext w:val="0"/>
                    <w:keepLines w:val="0"/>
                    <w:pageBreakBefore w:val="0"/>
                    <w:widowControl w:val="0"/>
                    <w:wordWrap/>
                    <w:topLinePunct w:val="0"/>
                    <w:bidi w:val="0"/>
                    <w:spacing w:before="0" w:after="0" w:line="240" w:lineRule="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900-052-31</w:t>
                  </w:r>
                </w:p>
              </w:tc>
              <w:tc>
                <w:tcPr>
                  <w:tcW w:w="297" w:type="pct"/>
                  <w:vMerge w:val="continue"/>
                  <w:tcBorders>
                    <w:tl2br w:val="nil"/>
                    <w:tr2bl w:val="nil"/>
                  </w:tcBorders>
                  <w:noWrap w:val="0"/>
                  <w:vAlign w:val="center"/>
                </w:tcPr>
                <w:p w14:paraId="33D3B38C">
                  <w:pPr>
                    <w:keepNext w:val="0"/>
                    <w:keepLines w:val="0"/>
                    <w:pageBreakBefore w:val="0"/>
                    <w:widowControl w:val="0"/>
                    <w:wordWrap/>
                    <w:topLinePunct w:val="0"/>
                    <w:bidi w:val="0"/>
                    <w:adjustRightInd w:val="0"/>
                    <w:snapToGrid w:val="0"/>
                    <w:spacing w:before="0" w:after="0" w:line="240" w:lineRule="auto"/>
                    <w:ind w:firstLine="0"/>
                    <w:jc w:val="center"/>
                    <w:rPr>
                      <w:rFonts w:hint="default" w:ascii="Times New Roman" w:hAnsi="Times New Roman" w:eastAsia="宋体" w:cs="Times New Roman"/>
                      <w:color w:val="auto"/>
                      <w:sz w:val="21"/>
                      <w:szCs w:val="21"/>
                      <w:highlight w:val="none"/>
                      <w:u w:val="none"/>
                    </w:rPr>
                  </w:pPr>
                </w:p>
              </w:tc>
              <w:tc>
                <w:tcPr>
                  <w:tcW w:w="440" w:type="pct"/>
                  <w:vMerge w:val="continue"/>
                  <w:tcBorders>
                    <w:tl2br w:val="nil"/>
                    <w:tr2bl w:val="nil"/>
                  </w:tcBorders>
                  <w:noWrap w:val="0"/>
                  <w:vAlign w:val="center"/>
                </w:tcPr>
                <w:p w14:paraId="216ABDF4">
                  <w:pPr>
                    <w:keepNext w:val="0"/>
                    <w:keepLines w:val="0"/>
                    <w:pageBreakBefore w:val="0"/>
                    <w:widowControl w:val="0"/>
                    <w:wordWrap/>
                    <w:topLinePunct w:val="0"/>
                    <w:bidi w:val="0"/>
                    <w:adjustRightInd w:val="0"/>
                    <w:snapToGrid w:val="0"/>
                    <w:spacing w:before="0" w:after="0" w:line="240" w:lineRule="auto"/>
                    <w:ind w:firstLine="0"/>
                    <w:jc w:val="center"/>
                    <w:rPr>
                      <w:rFonts w:hint="default" w:ascii="Times New Roman" w:hAnsi="Times New Roman" w:eastAsia="宋体" w:cs="Times New Roman"/>
                      <w:color w:val="auto"/>
                      <w:sz w:val="21"/>
                      <w:szCs w:val="21"/>
                      <w:highlight w:val="none"/>
                      <w:u w:val="none"/>
                    </w:rPr>
                  </w:pPr>
                </w:p>
              </w:tc>
              <w:tc>
                <w:tcPr>
                  <w:tcW w:w="507" w:type="pct"/>
                  <w:tcBorders>
                    <w:tl2br w:val="nil"/>
                    <w:tr2bl w:val="nil"/>
                  </w:tcBorders>
                  <w:noWrap w:val="0"/>
                  <w:vAlign w:val="center"/>
                </w:tcPr>
                <w:p w14:paraId="2937D640">
                  <w:pPr>
                    <w:keepNext w:val="0"/>
                    <w:keepLines w:val="0"/>
                    <w:pageBreakBefore w:val="0"/>
                    <w:widowControl w:val="0"/>
                    <w:wordWrap/>
                    <w:topLinePunct w:val="0"/>
                    <w:bidi w:val="0"/>
                    <w:adjustRightInd w:val="0"/>
                    <w:snapToGrid w:val="0"/>
                    <w:spacing w:before="0" w:after="0"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密闭</w:t>
                  </w:r>
                  <w:r>
                    <w:rPr>
                      <w:rFonts w:hint="default" w:ascii="Times New Roman" w:hAnsi="Times New Roman" w:eastAsia="宋体" w:cs="Times New Roman"/>
                      <w:color w:val="auto"/>
                      <w:kern w:val="2"/>
                      <w:sz w:val="21"/>
                      <w:szCs w:val="21"/>
                      <w:highlight w:val="none"/>
                      <w:u w:val="none"/>
                      <w:lang w:val="en-US" w:eastAsia="zh-CN" w:bidi="ar-SA"/>
                    </w:rPr>
                    <w:br w:type="textWrapping"/>
                  </w:r>
                  <w:r>
                    <w:rPr>
                      <w:rFonts w:hint="default" w:ascii="Times New Roman" w:hAnsi="Times New Roman" w:eastAsia="宋体" w:cs="Times New Roman"/>
                      <w:color w:val="auto"/>
                      <w:kern w:val="2"/>
                      <w:sz w:val="21"/>
                      <w:szCs w:val="21"/>
                      <w:highlight w:val="none"/>
                      <w:u w:val="none"/>
                      <w:lang w:val="en-US" w:eastAsia="zh-CN" w:bidi="ar-SA"/>
                    </w:rPr>
                    <w:t>袋装</w:t>
                  </w:r>
                </w:p>
              </w:tc>
              <w:tc>
                <w:tcPr>
                  <w:tcW w:w="490" w:type="pct"/>
                  <w:tcBorders>
                    <w:tl2br w:val="nil"/>
                    <w:tr2bl w:val="nil"/>
                  </w:tcBorders>
                  <w:noWrap w:val="0"/>
                  <w:vAlign w:val="center"/>
                </w:tcPr>
                <w:p w14:paraId="37CE0045">
                  <w:pPr>
                    <w:keepNext w:val="0"/>
                    <w:keepLines w:val="0"/>
                    <w:pageBreakBefore w:val="0"/>
                    <w:widowControl w:val="0"/>
                    <w:wordWrap/>
                    <w:topLinePunct w:val="0"/>
                    <w:bidi w:val="0"/>
                    <w:adjustRightInd w:val="0"/>
                    <w:snapToGrid w:val="0"/>
                    <w:spacing w:before="0" w:after="0"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0.5</w:t>
                  </w:r>
                </w:p>
              </w:tc>
              <w:tc>
                <w:tcPr>
                  <w:tcW w:w="437" w:type="pct"/>
                  <w:tcBorders>
                    <w:tl2br w:val="nil"/>
                    <w:tr2bl w:val="nil"/>
                  </w:tcBorders>
                  <w:noWrap w:val="0"/>
                  <w:vAlign w:val="center"/>
                </w:tcPr>
                <w:p w14:paraId="70EBB481">
                  <w:pPr>
                    <w:keepNext w:val="0"/>
                    <w:keepLines w:val="0"/>
                    <w:pageBreakBefore w:val="0"/>
                    <w:widowControl w:val="0"/>
                    <w:wordWrap/>
                    <w:topLinePunct w:val="0"/>
                    <w:bidi w:val="0"/>
                    <w:adjustRightInd w:val="0"/>
                    <w:snapToGrid w:val="0"/>
                    <w:spacing w:before="0" w:after="0" w:line="240" w:lineRule="auto"/>
                    <w:ind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rPr>
                    <w:t>半年</w:t>
                  </w:r>
                </w:p>
              </w:tc>
            </w:tr>
          </w:tbl>
          <w:p w14:paraId="0B21A6FF">
            <w:pPr>
              <w:pStyle w:val="36"/>
              <w:keepNext w:val="0"/>
              <w:keepLines w:val="0"/>
              <w:pageBreakBefore w:val="0"/>
              <w:widowControl w:val="0"/>
              <w:kinsoku/>
              <w:wordWrap/>
              <w:overflowPunct/>
              <w:topLinePunct w:val="0"/>
              <w:autoSpaceDE/>
              <w:autoSpaceDN/>
              <w:bidi w:val="0"/>
              <w:adjustRightInd/>
              <w:snapToGrid/>
              <w:spacing w:before="157" w:beforeLines="50"/>
              <w:ind w:firstLine="48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危险废物环境管理</w:t>
            </w:r>
          </w:p>
          <w:p w14:paraId="1F55A0A4">
            <w:pPr>
              <w:keepNext w:val="0"/>
              <w:keepLines w:val="0"/>
              <w:pageBreakBefore w:val="0"/>
              <w:widowControl w:val="0"/>
              <w:wordWrap/>
              <w:topLinePunct w:val="0"/>
              <w:autoSpaceDE w:val="0"/>
              <w:bidi w:val="0"/>
              <w:spacing w:line="360" w:lineRule="auto"/>
              <w:ind w:firstLine="480"/>
              <w:rPr>
                <w:rFonts w:hint="default" w:ascii="Times New Roman" w:hAnsi="Times New Roman" w:eastAsia="宋体" w:cs="Times New Roman"/>
                <w:color w:val="auto"/>
                <w:spacing w:val="8"/>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①危险废物贮存库环境管理应严格按照《危险废物贮存污染控制标准》（GB18597-2023）执行，应采取防风、防雨、防晒和防止危险废物流失、扬散等措施；危险废物应置于容器或包装物中，不应直接散堆。危险废物贮存库按照GB18597-2023中要求进行防渗，内部应根据危险废物的类别、数量、形态、物理化学性质和污染防治等要求设置必要的贮存分区，避免不相容的危险废物接触、混合。</w:t>
            </w:r>
            <w:r>
              <w:rPr>
                <w:rFonts w:hint="default" w:ascii="Times New Roman" w:hAnsi="Times New Roman" w:eastAsia="宋体" w:cs="Times New Roman"/>
                <w:color w:val="auto"/>
                <w:spacing w:val="8"/>
                <w:sz w:val="24"/>
                <w:szCs w:val="24"/>
                <w:highlight w:val="none"/>
                <w:lang w:val="en-US" w:eastAsia="zh-CN"/>
              </w:rPr>
              <w:t>危险废物贮存库应根据《危险废物识别标志设置技术规范》（HJ1276-2022），在危险废物容器、危险废物贮存库设置标识标志。</w:t>
            </w:r>
          </w:p>
          <w:p w14:paraId="71F6782E">
            <w:pPr>
              <w:keepNext w:val="0"/>
              <w:keepLines w:val="0"/>
              <w:pageBreakBefore w:val="0"/>
              <w:widowControl w:val="0"/>
              <w:wordWrap/>
              <w:topLinePunct w:val="0"/>
              <w:bidi w:val="0"/>
              <w:spacing w:before="0" w:after="0" w:line="360" w:lineRule="auto"/>
              <w:ind w:firstLine="512" w:firstLineChars="200"/>
              <w:rPr>
                <w:rFonts w:hint="default" w:ascii="Times New Roman" w:hAnsi="Times New Roman" w:eastAsia="宋体" w:cs="Times New Roman"/>
                <w:color w:val="auto"/>
                <w:spacing w:val="8"/>
                <w:sz w:val="24"/>
                <w:szCs w:val="24"/>
                <w:highlight w:val="none"/>
                <w:lang w:val="en-US" w:eastAsia="zh-CN"/>
              </w:rPr>
            </w:pPr>
            <w:r>
              <w:rPr>
                <w:rFonts w:hint="default" w:ascii="Times New Roman" w:hAnsi="Times New Roman" w:eastAsia="宋体" w:cs="Times New Roman"/>
                <w:color w:val="auto"/>
                <w:spacing w:val="8"/>
                <w:sz w:val="24"/>
                <w:szCs w:val="24"/>
                <w:highlight w:val="none"/>
                <w:lang w:val="en-US" w:eastAsia="zh-CN"/>
              </w:rPr>
              <w:t>②危险废物在贮存期间，企业应根据《危险废物管理计划和管理台账制定技术导则》（HJ1259-2022）建立危险废物贮存的台账制度，危险废物出入库交接记录。台账登记内容应当包括来源、种类、重量或者数量、交接时间、处置方法、最终去向以及经办人签名等项目，登记资料至少保存3年。</w:t>
            </w:r>
            <w:r>
              <w:rPr>
                <w:rFonts w:hint="default" w:ascii="Times New Roman" w:hAnsi="Times New Roman" w:eastAsia="宋体" w:cs="Times New Roman"/>
                <w:color w:val="auto"/>
                <w:spacing w:val="8"/>
                <w:sz w:val="24"/>
                <w:szCs w:val="24"/>
                <w:highlight w:val="none"/>
                <w:lang w:val="en-US" w:eastAsia="zh-CN"/>
              </w:rPr>
              <w:br w:type="textWrapping"/>
            </w:r>
            <w:r>
              <w:rPr>
                <w:rFonts w:hint="default" w:ascii="Times New Roman" w:hAnsi="Times New Roman" w:eastAsia="宋体" w:cs="Times New Roman"/>
                <w:color w:val="auto"/>
                <w:spacing w:val="8"/>
                <w:sz w:val="24"/>
                <w:szCs w:val="24"/>
                <w:highlight w:val="none"/>
                <w:lang w:val="en-US" w:eastAsia="zh-CN"/>
              </w:rPr>
              <w:t xml:space="preserve">    ③危险废物收集过程中应按照《危险废物收集 贮存 运输技术规范》（HJ2025-2012）做好相应收集贮存工作，并按照附录填写记录表，将记录表作为危险废物管理的重要档案妥善保存。</w:t>
            </w:r>
          </w:p>
          <w:p w14:paraId="04143AE3">
            <w:pPr>
              <w:keepNext w:val="0"/>
              <w:keepLines w:val="0"/>
              <w:pageBreakBefore w:val="0"/>
              <w:widowControl w:val="0"/>
              <w:wordWrap/>
              <w:topLinePunct w:val="0"/>
              <w:bidi w:val="0"/>
              <w:spacing w:before="0" w:after="0" w:line="360" w:lineRule="auto"/>
              <w:ind w:firstLine="512" w:firstLineChars="200"/>
              <w:rPr>
                <w:rFonts w:hint="default" w:ascii="Times New Roman" w:hAnsi="Times New Roman" w:eastAsia="宋体" w:cs="Times New Roman"/>
                <w:color w:val="auto"/>
                <w:spacing w:val="8"/>
                <w:sz w:val="24"/>
                <w:szCs w:val="24"/>
                <w:highlight w:val="none"/>
                <w:lang w:val="en-US" w:eastAsia="zh-CN"/>
              </w:rPr>
            </w:pPr>
            <w:r>
              <w:rPr>
                <w:rFonts w:hint="default" w:ascii="Times New Roman" w:hAnsi="Times New Roman" w:eastAsia="宋体" w:cs="Times New Roman"/>
                <w:color w:val="auto"/>
                <w:spacing w:val="8"/>
                <w:sz w:val="24"/>
                <w:szCs w:val="24"/>
                <w:highlight w:val="none"/>
                <w:lang w:val="en-US" w:eastAsia="zh-CN"/>
              </w:rPr>
              <w:t>④危险废物转移过程应按《危险废物转移管理办法》执行</w:t>
            </w:r>
            <w:r>
              <w:rPr>
                <w:rFonts w:hint="default" w:ascii="Times New Roman" w:hAnsi="Times New Roman" w:eastAsia="宋体" w:cs="Times New Roman"/>
                <w:color w:val="auto"/>
                <w:spacing w:val="8"/>
                <w:sz w:val="24"/>
                <w:szCs w:val="24"/>
                <w:highlight w:val="none"/>
                <w:lang w:val="zh-CN" w:eastAsia="zh-CN"/>
              </w:rPr>
              <w:t>危险废物转移联单制度</w:t>
            </w:r>
            <w:r>
              <w:rPr>
                <w:rFonts w:hint="default" w:ascii="Times New Roman" w:hAnsi="Times New Roman" w:eastAsia="宋体" w:cs="Times New Roman"/>
                <w:color w:val="auto"/>
                <w:spacing w:val="8"/>
                <w:sz w:val="24"/>
                <w:szCs w:val="24"/>
                <w:highlight w:val="none"/>
                <w:lang w:val="en-US" w:eastAsia="zh-CN"/>
              </w:rPr>
              <w:t>。</w:t>
            </w:r>
          </w:p>
          <w:p w14:paraId="298FE5AB">
            <w:pPr>
              <w:keepNext w:val="0"/>
              <w:keepLines w:val="0"/>
              <w:pageBreakBefore w:val="0"/>
              <w:widowControl w:val="0"/>
              <w:wordWrap/>
              <w:topLinePunct w:val="0"/>
              <w:bidi w:val="0"/>
              <w:spacing w:before="0" w:after="0" w:line="360" w:lineRule="auto"/>
              <w:ind w:firstLine="512" w:firstLineChars="200"/>
              <w:rPr>
                <w:rFonts w:hint="default" w:ascii="Times New Roman" w:hAnsi="Times New Roman" w:eastAsia="宋体" w:cs="Times New Roman"/>
                <w:color w:val="auto"/>
                <w:spacing w:val="8"/>
                <w:sz w:val="24"/>
                <w:szCs w:val="24"/>
                <w:highlight w:val="none"/>
                <w:lang w:val="en-US" w:eastAsia="zh-CN"/>
              </w:rPr>
            </w:pPr>
            <w:r>
              <w:rPr>
                <w:rFonts w:hint="default" w:ascii="Times New Roman" w:hAnsi="Times New Roman" w:eastAsia="宋体" w:cs="Times New Roman"/>
                <w:color w:val="auto"/>
                <w:spacing w:val="8"/>
                <w:sz w:val="24"/>
                <w:szCs w:val="24"/>
                <w:highlight w:val="none"/>
                <w:lang w:val="en-US" w:eastAsia="zh-CN"/>
              </w:rPr>
              <w:t>⑤企业应建立规范的危险废物管理和技术人员培训制度，定期针对管理和技术人员进行培训。</w:t>
            </w:r>
          </w:p>
          <w:p w14:paraId="06DCED24">
            <w:pPr>
              <w:keepNext w:val="0"/>
              <w:keepLines w:val="0"/>
              <w:pageBreakBefore w:val="0"/>
              <w:widowControl w:val="0"/>
              <w:wordWrap/>
              <w:topLinePunct w:val="0"/>
              <w:bidi w:val="0"/>
              <w:spacing w:before="0" w:after="0" w:line="360" w:lineRule="auto"/>
              <w:ind w:firstLine="512" w:firstLineChars="200"/>
              <w:rPr>
                <w:rFonts w:hint="default" w:ascii="Times New Roman" w:hAnsi="Times New Roman" w:eastAsia="宋体" w:cs="Times New Roman"/>
                <w:color w:val="auto"/>
                <w:spacing w:val="8"/>
                <w:sz w:val="24"/>
                <w:szCs w:val="24"/>
                <w:highlight w:val="none"/>
                <w:lang w:val="en-US" w:eastAsia="zh-CN"/>
              </w:rPr>
            </w:pPr>
            <w:r>
              <w:rPr>
                <w:rFonts w:hint="default" w:ascii="Times New Roman" w:hAnsi="Times New Roman" w:eastAsia="宋体" w:cs="Times New Roman"/>
                <w:color w:val="auto"/>
                <w:spacing w:val="8"/>
                <w:sz w:val="24"/>
                <w:szCs w:val="24"/>
                <w:highlight w:val="none"/>
                <w:lang w:val="en-US" w:eastAsia="zh-CN"/>
              </w:rPr>
              <w:t>⑥在危险废物的收集和转移过程中，应采取相应的安全防护和污染防治措施，包括防爆、防火、防中毒、防泄漏、防飞扬、防雨或其它防止污染环境的措施。</w:t>
            </w:r>
          </w:p>
          <w:p w14:paraId="4CFE1427">
            <w:pPr>
              <w:keepNext w:val="0"/>
              <w:keepLines w:val="0"/>
              <w:pageBreakBefore w:val="0"/>
              <w:widowControl w:val="0"/>
              <w:wordWrap/>
              <w:topLinePunct w:val="0"/>
              <w:bidi w:val="0"/>
              <w:spacing w:line="360" w:lineRule="auto"/>
              <w:ind w:firstLine="512" w:firstLineChars="200"/>
              <w:jc w:val="both"/>
              <w:rPr>
                <w:rFonts w:hint="default"/>
                <w:highlight w:val="none"/>
              </w:rPr>
            </w:pPr>
            <w:r>
              <w:rPr>
                <w:rFonts w:hint="default" w:ascii="Times New Roman" w:hAnsi="Times New Roman" w:eastAsia="宋体" w:cs="Times New Roman"/>
                <w:color w:val="auto"/>
                <w:spacing w:val="8"/>
                <w:sz w:val="24"/>
                <w:szCs w:val="24"/>
                <w:highlight w:val="none"/>
                <w:lang w:val="en-US" w:eastAsia="zh-CN"/>
              </w:rPr>
              <w:t>本项目危险废物在产生、贮存、运输、处置等过程控制中严格按照以上措施进行处置后不会对区域环境造成影响，处置措施可行。</w:t>
            </w:r>
          </w:p>
          <w:p w14:paraId="734746F7">
            <w:pPr>
              <w:keepNext w:val="0"/>
              <w:keepLines w:val="0"/>
              <w:pageBreakBefore w:val="0"/>
              <w:widowControl w:val="0"/>
              <w:numPr>
                <w:ilvl w:val="0"/>
                <w:numId w:val="7"/>
              </w:numPr>
              <w:wordWrap/>
              <w:topLinePunct w:val="0"/>
              <w:bidi w:val="0"/>
              <w:spacing w:line="360" w:lineRule="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电磁环境保护措施</w:t>
            </w:r>
          </w:p>
          <w:p w14:paraId="5F7A06FD">
            <w:pPr>
              <w:pStyle w:val="17"/>
              <w:keepNext w:val="0"/>
              <w:keepLines w:val="0"/>
              <w:pageBreakBefore w:val="0"/>
              <w:widowControl w:val="0"/>
              <w:kinsoku/>
              <w:wordWrap/>
              <w:overflowPunct/>
              <w:topLinePunct w:val="0"/>
              <w:autoSpaceDE/>
              <w:autoSpaceDN/>
              <w:bidi w:val="0"/>
              <w:adjustRightInd/>
              <w:snapToGrid/>
              <w:spacing w:before="0" w:beforeLines="0" w:after="0" w:afterLines="0"/>
              <w:ind w:left="0" w:leftChars="0" w:firstLine="480" w:firstLineChars="200"/>
              <w:textAlignment w:val="auto"/>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电磁环境保护措施具体见</w:t>
            </w:r>
            <w:r>
              <w:rPr>
                <w:rFonts w:hint="eastAsia" w:ascii="Times New Roman" w:hAnsi="Times New Roman" w:eastAsia="宋体" w:cs="Times New Roman"/>
                <w:color w:val="auto"/>
                <w:sz w:val="24"/>
                <w:szCs w:val="24"/>
                <w:highlight w:val="none"/>
                <w:lang w:val="en-US" w:eastAsia="zh-CN"/>
              </w:rPr>
              <w:t>专题</w:t>
            </w:r>
            <w:r>
              <w:rPr>
                <w:rFonts w:hint="default" w:ascii="Times New Roman" w:hAnsi="Times New Roman" w:eastAsia="宋体" w:cs="Times New Roman"/>
                <w:color w:val="auto"/>
                <w:sz w:val="24"/>
                <w:szCs w:val="24"/>
                <w:highlight w:val="none"/>
                <w:lang w:val="en-US" w:eastAsia="zh-CN"/>
              </w:rPr>
              <w:t>评价。</w:t>
            </w:r>
          </w:p>
          <w:p w14:paraId="4D3CFE2F">
            <w:pPr>
              <w:pStyle w:val="5"/>
              <w:keepNext w:val="0"/>
              <w:keepLines w:val="0"/>
              <w:pageBreakBefore w:val="0"/>
              <w:widowControl w:val="0"/>
              <w:numPr>
                <w:ilvl w:val="0"/>
                <w:numId w:val="0"/>
              </w:numPr>
              <w:wordWrap/>
              <w:topLinePunct w:val="0"/>
              <w:bidi w:val="0"/>
              <w:spacing w:line="360" w:lineRule="auto"/>
              <w:ind w:leftChars="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6.环境风险</w:t>
            </w:r>
          </w:p>
          <w:p w14:paraId="529E3E6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kern w:val="0"/>
                <w:sz w:val="24"/>
                <w:szCs w:val="24"/>
                <w:highlight w:val="none"/>
                <w:lang w:val="en-US" w:eastAsia="zh-CN"/>
              </w:rPr>
            </w:pPr>
            <w:bookmarkStart w:id="95" w:name="_Toc2696186"/>
            <w:r>
              <w:rPr>
                <w:rFonts w:hint="default" w:ascii="Times New Roman" w:hAnsi="Times New Roman" w:eastAsia="宋体" w:cs="Times New Roman"/>
                <w:b w:val="0"/>
                <w:bCs w:val="0"/>
                <w:color w:val="auto"/>
                <w:kern w:val="0"/>
                <w:sz w:val="24"/>
                <w:szCs w:val="24"/>
                <w:highlight w:val="none"/>
                <w:lang w:val="en-US" w:eastAsia="zh-CN"/>
              </w:rPr>
              <w:t>（1）风险物质</w:t>
            </w:r>
          </w:p>
          <w:p w14:paraId="5F1E49B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根据《建设项目环境风险评价技术导则》（HJ169-2018），本项目风险物质为变压器油及废变压器油、润滑油及废润滑油</w:t>
            </w:r>
            <w:r>
              <w:rPr>
                <w:rFonts w:hint="eastAsia" w:ascii="Times New Roman" w:hAnsi="Times New Roman" w:eastAsia="宋体" w:cs="Times New Roman"/>
                <w:b w:val="0"/>
                <w:bCs w:val="0"/>
                <w:color w:val="auto"/>
                <w:kern w:val="0"/>
                <w:sz w:val="24"/>
                <w:szCs w:val="24"/>
                <w:highlight w:val="none"/>
                <w:lang w:val="en-US" w:eastAsia="zh-CN"/>
              </w:rPr>
              <w:t>以及钒电解液</w:t>
            </w:r>
            <w:r>
              <w:rPr>
                <w:rFonts w:hint="default" w:ascii="Times New Roman" w:hAnsi="Times New Roman" w:eastAsia="宋体" w:cs="Times New Roman"/>
                <w:b w:val="0"/>
                <w:bCs w:val="0"/>
                <w:color w:val="auto"/>
                <w:kern w:val="0"/>
                <w:sz w:val="24"/>
                <w:szCs w:val="24"/>
                <w:highlight w:val="none"/>
                <w:lang w:val="en-US" w:eastAsia="zh-CN"/>
              </w:rPr>
              <w:t>。变压器油主要分布于变压器内，废变压器油由事故油池收集，润滑油为桶装，废润滑油在危废</w:t>
            </w:r>
            <w:r>
              <w:rPr>
                <w:rFonts w:hint="eastAsia" w:ascii="Times New Roman" w:hAnsi="Times New Roman" w:eastAsia="宋体" w:cs="Times New Roman"/>
                <w:b w:val="0"/>
                <w:bCs w:val="0"/>
                <w:color w:val="auto"/>
                <w:kern w:val="0"/>
                <w:sz w:val="24"/>
                <w:szCs w:val="24"/>
                <w:highlight w:val="none"/>
                <w:lang w:val="en-US" w:eastAsia="zh-CN"/>
              </w:rPr>
              <w:t>贮存间</w:t>
            </w:r>
            <w:r>
              <w:rPr>
                <w:rFonts w:hint="default" w:ascii="Times New Roman" w:hAnsi="Times New Roman" w:eastAsia="宋体" w:cs="Times New Roman"/>
                <w:b w:val="0"/>
                <w:bCs w:val="0"/>
                <w:color w:val="auto"/>
                <w:kern w:val="0"/>
                <w:sz w:val="24"/>
                <w:szCs w:val="24"/>
                <w:highlight w:val="none"/>
                <w:lang w:val="en-US" w:eastAsia="zh-CN"/>
              </w:rPr>
              <w:t>暂存</w:t>
            </w:r>
            <w:r>
              <w:rPr>
                <w:rFonts w:hint="eastAsia" w:ascii="Times New Roman" w:hAnsi="Times New Roman" w:eastAsia="宋体" w:cs="Times New Roman"/>
                <w:b w:val="0"/>
                <w:bCs w:val="0"/>
                <w:color w:val="auto"/>
                <w:kern w:val="0"/>
                <w:sz w:val="24"/>
                <w:szCs w:val="24"/>
                <w:highlight w:val="none"/>
                <w:lang w:val="en-US" w:eastAsia="zh-CN"/>
              </w:rPr>
              <w:t>，钒电解液位于全钒液流电池内。</w:t>
            </w:r>
          </w:p>
          <w:p w14:paraId="4FDBD33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（2）影响途径及影响分析</w:t>
            </w:r>
          </w:p>
          <w:p w14:paraId="004E97B1">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pacing w:val="4"/>
                <w:sz w:val="24"/>
                <w:highlight w:val="none"/>
                <w:lang w:val="en-US" w:eastAsia="zh-CN"/>
              </w:rPr>
            </w:pPr>
            <w:r>
              <w:rPr>
                <w:rFonts w:hint="default" w:ascii="Times New Roman" w:hAnsi="Times New Roman" w:eastAsia="宋体" w:cs="Times New Roman"/>
                <w:bCs/>
                <w:color w:val="auto"/>
                <w:sz w:val="24"/>
                <w:szCs w:val="20"/>
                <w:highlight w:val="none"/>
                <w:lang w:val="en-US" w:eastAsia="zh-CN"/>
              </w:rPr>
              <w:t>类比调查同类型项目资料，存在的主要风险事故为油品</w:t>
            </w:r>
            <w:r>
              <w:rPr>
                <w:rFonts w:hint="eastAsia" w:ascii="Times New Roman" w:hAnsi="Times New Roman" w:eastAsia="宋体" w:cs="Times New Roman"/>
                <w:bCs/>
                <w:color w:val="auto"/>
                <w:sz w:val="24"/>
                <w:szCs w:val="20"/>
                <w:highlight w:val="none"/>
                <w:lang w:val="en-US" w:eastAsia="zh-CN"/>
              </w:rPr>
              <w:t>、钒电解液</w:t>
            </w:r>
            <w:r>
              <w:rPr>
                <w:rFonts w:hint="default" w:ascii="Times New Roman" w:hAnsi="Times New Roman" w:eastAsia="宋体" w:cs="Times New Roman"/>
                <w:bCs/>
                <w:color w:val="auto"/>
                <w:sz w:val="24"/>
                <w:szCs w:val="20"/>
                <w:highlight w:val="none"/>
                <w:lang w:val="en-US" w:eastAsia="zh-CN"/>
              </w:rPr>
              <w:t>泄漏</w:t>
            </w:r>
            <w:r>
              <w:rPr>
                <w:rFonts w:hint="default" w:ascii="Times New Roman" w:hAnsi="Times New Roman" w:cs="Times New Roman"/>
                <w:bCs/>
                <w:color w:val="auto"/>
                <w:sz w:val="24"/>
                <w:szCs w:val="20"/>
                <w:highlight w:val="none"/>
                <w:lang w:val="en-US" w:eastAsia="zh-CN"/>
              </w:rPr>
              <w:t>，会对土壤及地下水环境造成影响</w:t>
            </w:r>
            <w:r>
              <w:rPr>
                <w:rFonts w:hint="default" w:ascii="Times New Roman" w:hAnsi="Times New Roman" w:eastAsia="宋体" w:cs="Times New Roman"/>
                <w:bCs/>
                <w:color w:val="auto"/>
                <w:sz w:val="24"/>
                <w:szCs w:val="20"/>
                <w:highlight w:val="none"/>
                <w:lang w:val="en-US" w:eastAsia="zh-CN"/>
              </w:rPr>
              <w:t>。油品泄漏，遇明火极易引发火灾，一旦发生火灾事故将会造成大气污染，火灾发生后灭火产生的消防废水如不能及时有效处理，将会对环境造成二次污染。</w:t>
            </w:r>
            <w:r>
              <w:rPr>
                <w:rFonts w:hint="eastAsia" w:ascii="Times New Roman" w:hAnsi="Times New Roman" w:eastAsia="宋体" w:cs="Times New Roman"/>
                <w:bCs/>
                <w:color w:val="auto"/>
                <w:sz w:val="24"/>
                <w:szCs w:val="20"/>
                <w:highlight w:val="none"/>
                <w:lang w:val="en-US" w:eastAsia="zh-CN"/>
              </w:rPr>
              <w:t>钒电解液具有一定腐蚀性，一旦发生泄漏</w:t>
            </w:r>
            <w:r>
              <w:rPr>
                <w:rFonts w:hint="default" w:ascii="Times New Roman" w:hAnsi="Times New Roman" w:eastAsia="宋体" w:cs="Times New Roman"/>
                <w:bCs/>
                <w:color w:val="auto"/>
                <w:sz w:val="24"/>
                <w:szCs w:val="20"/>
                <w:highlight w:val="none"/>
                <w:lang w:val="en-US" w:eastAsia="zh-CN"/>
              </w:rPr>
              <w:t>事故将会造成大气</w:t>
            </w:r>
            <w:r>
              <w:rPr>
                <w:rFonts w:hint="eastAsia" w:ascii="Times New Roman" w:hAnsi="Times New Roman" w:eastAsia="宋体" w:cs="Times New Roman"/>
                <w:bCs/>
                <w:color w:val="auto"/>
                <w:sz w:val="24"/>
                <w:szCs w:val="20"/>
                <w:highlight w:val="none"/>
                <w:lang w:val="en-US" w:eastAsia="zh-CN"/>
              </w:rPr>
              <w:t>、土壤及地下水</w:t>
            </w:r>
            <w:r>
              <w:rPr>
                <w:rFonts w:hint="default" w:ascii="Times New Roman" w:hAnsi="Times New Roman" w:eastAsia="宋体" w:cs="Times New Roman"/>
                <w:bCs/>
                <w:color w:val="auto"/>
                <w:sz w:val="24"/>
                <w:szCs w:val="20"/>
                <w:highlight w:val="none"/>
                <w:lang w:val="en-US" w:eastAsia="zh-CN"/>
              </w:rPr>
              <w:t>污染</w:t>
            </w:r>
            <w:r>
              <w:rPr>
                <w:rFonts w:hint="eastAsia" w:ascii="Times New Roman" w:hAnsi="Times New Roman" w:eastAsia="宋体" w:cs="Times New Roman"/>
                <w:bCs/>
                <w:color w:val="auto"/>
                <w:sz w:val="24"/>
                <w:szCs w:val="20"/>
                <w:highlight w:val="none"/>
                <w:lang w:val="en-US" w:eastAsia="zh-CN"/>
              </w:rPr>
              <w:t>。</w:t>
            </w:r>
          </w:p>
          <w:p w14:paraId="23309D6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szCs w:val="20"/>
                <w:highlight w:val="none"/>
                <w:lang w:val="en-US" w:eastAsia="zh-CN"/>
              </w:rPr>
            </w:pPr>
            <w:r>
              <w:rPr>
                <w:rFonts w:hint="default" w:ascii="Times New Roman" w:hAnsi="Times New Roman" w:eastAsia="宋体" w:cs="Times New Roman"/>
                <w:bCs/>
                <w:color w:val="auto"/>
                <w:sz w:val="24"/>
                <w:szCs w:val="20"/>
                <w:highlight w:val="none"/>
                <w:lang w:val="en-US" w:eastAsia="zh-CN"/>
              </w:rPr>
              <w:t>本项目</w:t>
            </w:r>
            <w:r>
              <w:rPr>
                <w:rFonts w:hint="default" w:ascii="Times New Roman" w:hAnsi="Times New Roman" w:eastAsia="宋体" w:cs="Times New Roman"/>
                <w:color w:val="auto"/>
                <w:sz w:val="24"/>
                <w:szCs w:val="24"/>
                <w:highlight w:val="none"/>
                <w:lang w:val="en-US" w:eastAsia="zh-CN"/>
              </w:rPr>
              <w:t>润滑油为桶装，桶装润滑油如发生泄漏，较易发现并及时采取措施；本项目在220kV升压站内设置</w:t>
            </w:r>
            <w:r>
              <w:rPr>
                <w:rFonts w:hint="eastAsia" w:ascii="Times New Roman" w:hAnsi="Times New Roman" w:eastAsia="宋体" w:cs="Times New Roman"/>
                <w:color w:val="auto"/>
                <w:sz w:val="24"/>
                <w:szCs w:val="24"/>
                <w:highlight w:val="none"/>
                <w:lang w:val="en-US" w:eastAsia="zh-CN"/>
              </w:rPr>
              <w:t>一个</w:t>
            </w:r>
            <w:r>
              <w:rPr>
                <w:rFonts w:hint="default" w:ascii="Times New Roman" w:hAnsi="Times New Roman" w:eastAsia="宋体" w:cs="Times New Roman"/>
                <w:color w:val="auto"/>
                <w:sz w:val="24"/>
                <w:szCs w:val="24"/>
                <w:highlight w:val="none"/>
                <w:lang w:val="en-US" w:eastAsia="zh-CN"/>
              </w:rPr>
              <w:t>事故油池（</w:t>
            </w:r>
            <w:r>
              <w:rPr>
                <w:rFonts w:hint="eastAsia" w:ascii="Times New Roman" w:hAnsi="Times New Roman" w:eastAsia="宋体" w:cs="Times New Roman"/>
                <w:color w:val="auto"/>
                <w:sz w:val="24"/>
                <w:szCs w:val="24"/>
                <w:highlight w:val="none"/>
                <w:lang w:val="en-US" w:eastAsia="zh-CN"/>
              </w:rPr>
              <w:t>100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bCs/>
                <w:color w:val="auto"/>
                <w:sz w:val="24"/>
                <w:szCs w:val="20"/>
                <w:highlight w:val="none"/>
                <w:lang w:val="en-US" w:eastAsia="zh-CN"/>
              </w:rPr>
              <w:t>一旦发生变压器油</w:t>
            </w:r>
            <w:r>
              <w:rPr>
                <w:rFonts w:hint="eastAsia" w:eastAsia="宋体" w:cs="Times New Roman"/>
                <w:bCs/>
                <w:color w:val="auto"/>
                <w:sz w:val="24"/>
                <w:szCs w:val="20"/>
                <w:highlight w:val="none"/>
                <w:lang w:val="en-US" w:eastAsia="zh-CN"/>
              </w:rPr>
              <w:t>泄漏</w:t>
            </w:r>
            <w:r>
              <w:rPr>
                <w:rFonts w:hint="default" w:ascii="Times New Roman" w:hAnsi="Times New Roman" w:eastAsia="宋体" w:cs="Times New Roman"/>
                <w:bCs/>
                <w:color w:val="auto"/>
                <w:sz w:val="24"/>
                <w:szCs w:val="20"/>
                <w:highlight w:val="none"/>
                <w:lang w:val="en-US" w:eastAsia="zh-CN"/>
              </w:rPr>
              <w:t>，将会全部收集在事故油池</w:t>
            </w:r>
            <w:r>
              <w:rPr>
                <w:rFonts w:hint="default" w:ascii="Times New Roman" w:hAnsi="Times New Roman" w:eastAsia="宋体" w:cs="Times New Roman"/>
                <w:color w:val="auto"/>
                <w:sz w:val="24"/>
                <w:szCs w:val="24"/>
                <w:highlight w:val="none"/>
                <w:lang w:val="en-US" w:eastAsia="zh-CN"/>
              </w:rPr>
              <w:t>内</w:t>
            </w:r>
            <w:r>
              <w:rPr>
                <w:rFonts w:hint="default" w:ascii="Times New Roman" w:hAnsi="Times New Roman" w:eastAsia="宋体" w:cs="Times New Roman"/>
                <w:bCs/>
                <w:color w:val="auto"/>
                <w:sz w:val="24"/>
                <w:szCs w:val="20"/>
                <w:highlight w:val="none"/>
                <w:lang w:val="en-US" w:eastAsia="zh-CN"/>
              </w:rPr>
              <w:t>，不会外漏。</w:t>
            </w:r>
          </w:p>
          <w:p w14:paraId="1924D17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szCs w:val="20"/>
                <w:highlight w:val="none"/>
                <w:lang w:val="en-US" w:eastAsia="zh-CN"/>
              </w:rPr>
            </w:pPr>
            <w:r>
              <w:rPr>
                <w:rFonts w:hint="default" w:ascii="Times New Roman" w:hAnsi="Times New Roman" w:eastAsia="宋体" w:cs="Times New Roman"/>
                <w:bCs/>
                <w:color w:val="auto"/>
                <w:sz w:val="24"/>
                <w:szCs w:val="20"/>
                <w:highlight w:val="none"/>
                <w:lang w:val="en-US" w:eastAsia="zh-CN"/>
              </w:rPr>
              <w:t>本项目废润滑油在危废</w:t>
            </w:r>
            <w:r>
              <w:rPr>
                <w:rFonts w:hint="eastAsia" w:eastAsia="宋体" w:cs="Times New Roman"/>
                <w:bCs/>
                <w:color w:val="auto"/>
                <w:sz w:val="24"/>
                <w:szCs w:val="20"/>
                <w:highlight w:val="none"/>
                <w:lang w:val="en-US" w:eastAsia="zh-CN"/>
              </w:rPr>
              <w:t>贮存间</w:t>
            </w:r>
            <w:r>
              <w:rPr>
                <w:rFonts w:hint="default" w:ascii="Times New Roman" w:hAnsi="Times New Roman" w:eastAsia="宋体" w:cs="Times New Roman"/>
                <w:bCs/>
                <w:color w:val="auto"/>
                <w:sz w:val="24"/>
                <w:szCs w:val="20"/>
                <w:highlight w:val="none"/>
                <w:lang w:val="en-US" w:eastAsia="zh-CN"/>
              </w:rPr>
              <w:t>暂存，危废暂存间暂存地面采取防渗措施，如发生油品泄漏，对土壤及地下水影响较小。</w:t>
            </w:r>
          </w:p>
          <w:p w14:paraId="317A454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szCs w:val="20"/>
                <w:highlight w:val="none"/>
                <w:lang w:val="en-US" w:eastAsia="zh-CN"/>
              </w:rPr>
            </w:pPr>
            <w:r>
              <w:rPr>
                <w:rFonts w:hint="eastAsia" w:ascii="Times New Roman" w:hAnsi="Times New Roman" w:eastAsia="宋体" w:cs="Times New Roman"/>
                <w:bCs/>
                <w:color w:val="auto"/>
                <w:sz w:val="24"/>
                <w:szCs w:val="20"/>
                <w:highlight w:val="none"/>
                <w:lang w:val="en-US" w:eastAsia="zh-CN"/>
              </w:rPr>
              <w:t>针对全钒液流电池钒电解液泄漏的问题，</w:t>
            </w:r>
            <w:r>
              <w:rPr>
                <w:rFonts w:hint="default" w:ascii="Times New Roman" w:hAnsi="Times New Roman" w:eastAsia="宋体" w:cs="Times New Roman"/>
                <w:bCs/>
                <w:color w:val="auto"/>
                <w:sz w:val="24"/>
                <w:szCs w:val="20"/>
                <w:highlight w:val="none"/>
                <w:lang w:val="en-US" w:eastAsia="zh-CN"/>
              </w:rPr>
              <w:t>通过在电堆出液口增加一个磁力泵，电堆中的电解液将受到一个来自电堆出液口的吸力，从而都从电堆出液口流出，这就避免了之前因为来自进液口泵的压力导致部分电解液从电堆其他未密封好的地方流出而造成电堆漏液的可能性。</w:t>
            </w:r>
          </w:p>
          <w:p w14:paraId="11BFE16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szCs w:val="20"/>
                <w:highlight w:val="none"/>
                <w:lang w:val="en-US" w:eastAsia="zh-CN"/>
              </w:rPr>
            </w:pPr>
            <w:r>
              <w:rPr>
                <w:rFonts w:hint="default" w:ascii="Times New Roman" w:hAnsi="Times New Roman" w:eastAsia="宋体" w:cs="Times New Roman"/>
                <w:bCs/>
                <w:color w:val="auto"/>
                <w:sz w:val="24"/>
                <w:szCs w:val="20"/>
                <w:highlight w:val="none"/>
                <w:lang w:val="en-US" w:eastAsia="zh-CN"/>
              </w:rPr>
              <w:t>本项目</w:t>
            </w:r>
            <w:r>
              <w:rPr>
                <w:rFonts w:hint="eastAsia" w:ascii="Times New Roman" w:hAnsi="Times New Roman" w:eastAsia="宋体" w:cs="Times New Roman"/>
                <w:bCs/>
                <w:color w:val="auto"/>
                <w:sz w:val="24"/>
                <w:szCs w:val="20"/>
                <w:highlight w:val="none"/>
                <w:lang w:val="en-US" w:eastAsia="zh-CN"/>
              </w:rPr>
              <w:t>储能电站</w:t>
            </w:r>
            <w:r>
              <w:rPr>
                <w:rFonts w:hint="default" w:ascii="Times New Roman" w:hAnsi="Times New Roman" w:eastAsia="宋体" w:cs="Times New Roman"/>
                <w:bCs/>
                <w:color w:val="auto"/>
                <w:sz w:val="24"/>
                <w:szCs w:val="20"/>
                <w:highlight w:val="none"/>
                <w:lang w:val="en-US" w:eastAsia="zh-CN"/>
              </w:rPr>
              <w:t>内设置火灾自动报警系统、视频监控系统以及消防系统，一旦发生</w:t>
            </w:r>
            <w:r>
              <w:rPr>
                <w:rFonts w:hint="eastAsia" w:ascii="Times New Roman" w:hAnsi="Times New Roman" w:eastAsia="宋体" w:cs="Times New Roman"/>
                <w:bCs/>
                <w:color w:val="auto"/>
                <w:sz w:val="24"/>
                <w:szCs w:val="20"/>
                <w:highlight w:val="none"/>
                <w:lang w:val="en-US" w:eastAsia="zh-CN"/>
              </w:rPr>
              <w:t>泄漏及</w:t>
            </w:r>
            <w:r>
              <w:rPr>
                <w:rFonts w:hint="default" w:ascii="Times New Roman" w:hAnsi="Times New Roman" w:eastAsia="宋体" w:cs="Times New Roman"/>
                <w:bCs/>
                <w:color w:val="auto"/>
                <w:sz w:val="24"/>
                <w:szCs w:val="20"/>
                <w:highlight w:val="none"/>
                <w:lang w:val="en-US" w:eastAsia="zh-CN"/>
              </w:rPr>
              <w:t>火灾</w:t>
            </w:r>
            <w:r>
              <w:rPr>
                <w:rFonts w:hint="eastAsia" w:ascii="Times New Roman" w:hAnsi="Times New Roman" w:eastAsia="宋体" w:cs="Times New Roman"/>
                <w:bCs/>
                <w:color w:val="auto"/>
                <w:sz w:val="24"/>
                <w:szCs w:val="20"/>
                <w:highlight w:val="none"/>
                <w:lang w:val="en-US" w:eastAsia="zh-CN"/>
              </w:rPr>
              <w:t>事故</w:t>
            </w:r>
            <w:r>
              <w:rPr>
                <w:rFonts w:hint="default" w:ascii="Times New Roman" w:hAnsi="Times New Roman" w:eastAsia="宋体" w:cs="Times New Roman"/>
                <w:bCs/>
                <w:color w:val="auto"/>
                <w:sz w:val="24"/>
                <w:szCs w:val="20"/>
                <w:highlight w:val="none"/>
                <w:lang w:val="en-US" w:eastAsia="zh-CN"/>
              </w:rPr>
              <w:t>，可及时采取应急措施。</w:t>
            </w:r>
          </w:p>
          <w:p w14:paraId="3EC92F5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（3）环境风险防范措施</w:t>
            </w:r>
          </w:p>
          <w:p w14:paraId="05065ED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为进一步降低环境风险，建议采取以下措施：</w:t>
            </w:r>
          </w:p>
          <w:p w14:paraId="14D7192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1）必须严格执行动火制度，主变压器附近范围内严禁明火。</w:t>
            </w:r>
          </w:p>
          <w:p w14:paraId="7BE4501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2）操作人员必须经过安全、消防教育，生产指挥、安全生产管理和操作人员必须经安全考试合格，方准任职和上岗。</w:t>
            </w:r>
          </w:p>
          <w:p w14:paraId="76B62EE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3）制定巡检制度，定期巡检。</w:t>
            </w:r>
          </w:p>
          <w:p w14:paraId="0D0F04D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lang w:val="en-US" w:eastAsia="zh-CN"/>
              </w:rPr>
            </w:pPr>
            <w:r>
              <w:rPr>
                <w:rFonts w:hint="default" w:ascii="Times New Roman" w:hAnsi="Times New Roman" w:eastAsia="宋体" w:cs="Times New Roman"/>
                <w:color w:val="auto"/>
                <w:sz w:val="24"/>
                <w:szCs w:val="24"/>
                <w:highlight w:val="none"/>
                <w:lang w:val="en-US" w:eastAsia="zh-CN"/>
              </w:rPr>
              <w:t>因此，只要落实上述环境风险防范措施，加强运营期的管理，本项目环境风险可接受。</w:t>
            </w:r>
            <w:bookmarkEnd w:id="95"/>
          </w:p>
          <w:p w14:paraId="54EEFA0E">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kern w:val="0"/>
                <w:sz w:val="24"/>
                <w:szCs w:val="24"/>
                <w:highlight w:val="none"/>
                <w:lang w:val="en-US" w:eastAsia="zh-CN"/>
              </w:rPr>
            </w:pPr>
            <w:r>
              <w:rPr>
                <w:rFonts w:hint="eastAsia" w:eastAsia="宋体" w:cs="Times New Roman"/>
                <w:b/>
                <w:bCs/>
                <w:color w:val="auto"/>
                <w:kern w:val="0"/>
                <w:sz w:val="24"/>
                <w:szCs w:val="24"/>
                <w:highlight w:val="none"/>
                <w:lang w:val="en-US" w:eastAsia="zh-CN"/>
              </w:rPr>
              <w:t>7</w:t>
            </w:r>
            <w:r>
              <w:rPr>
                <w:rFonts w:hint="default" w:ascii="Times New Roman" w:hAnsi="Times New Roman" w:eastAsia="宋体" w:cs="Times New Roman"/>
                <w:b/>
                <w:bCs/>
                <w:color w:val="auto"/>
                <w:kern w:val="0"/>
                <w:sz w:val="24"/>
                <w:szCs w:val="24"/>
                <w:highlight w:val="none"/>
                <w:lang w:val="en-US" w:eastAsia="zh-CN"/>
              </w:rPr>
              <w:t>.环境监测计划</w:t>
            </w:r>
          </w:p>
          <w:p w14:paraId="740037B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参照《排污单位自行监测技术指南</w:t>
            </w:r>
            <w:r>
              <w:rPr>
                <w:rFonts w:hint="eastAsia"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总则》（HJ819-2017），本次环评提出项目运行期环境监测计划，具体见表5-</w:t>
            </w:r>
            <w:r>
              <w:rPr>
                <w:rFonts w:hint="eastAsia"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US" w:eastAsia="zh-CN"/>
              </w:rPr>
              <w:t>。</w:t>
            </w:r>
          </w:p>
          <w:p w14:paraId="1F6F83ED">
            <w:pPr>
              <w:keepNext w:val="0"/>
              <w:keepLines w:val="0"/>
              <w:pageBreakBefore w:val="0"/>
              <w:widowControl w:val="0"/>
              <w:wordWrap/>
              <w:topLinePunct w:val="0"/>
              <w:bidi w:val="0"/>
              <w:adjustRightInd w:val="0"/>
              <w:snapToGrid w:val="0"/>
              <w:spacing w:line="240" w:lineRule="auto"/>
              <w:ind w:firstLine="422" w:firstLineChars="20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表5-</w:t>
            </w:r>
            <w:r>
              <w:rPr>
                <w:rFonts w:hint="eastAsia" w:cs="Times New Roman"/>
                <w:b/>
                <w:bCs/>
                <w:color w:val="auto"/>
                <w:sz w:val="21"/>
                <w:szCs w:val="21"/>
                <w:highlight w:val="none"/>
                <w:lang w:val="en-US" w:eastAsia="zh-CN"/>
              </w:rPr>
              <w:t>2</w:t>
            </w:r>
            <w:r>
              <w:rPr>
                <w:rFonts w:hint="default" w:ascii="Times New Roman" w:hAnsi="Times New Roman" w:cs="Times New Roman"/>
                <w:b/>
                <w:bCs/>
                <w:color w:val="auto"/>
                <w:sz w:val="21"/>
                <w:szCs w:val="21"/>
                <w:highlight w:val="none"/>
                <w:lang w:val="en-US" w:eastAsia="zh-CN"/>
              </w:rPr>
              <w:t xml:space="preserve">  </w:t>
            </w:r>
            <w:r>
              <w:rPr>
                <w:rFonts w:hint="eastAsia"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lang w:val="en-US" w:eastAsia="zh-CN"/>
              </w:rPr>
              <w:t>监测计划一栏表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547"/>
              <w:gridCol w:w="1604"/>
              <w:gridCol w:w="981"/>
              <w:gridCol w:w="2828"/>
            </w:tblGrid>
            <w:tr w14:paraId="69B9D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noWrap w:val="0"/>
                  <w:vAlign w:val="center"/>
                </w:tcPr>
                <w:p w14:paraId="4A0A7C49">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类别</w:t>
                  </w:r>
                </w:p>
              </w:tc>
              <w:tc>
                <w:tcPr>
                  <w:tcW w:w="1012" w:type="pct"/>
                  <w:noWrap w:val="0"/>
                  <w:vAlign w:val="center"/>
                </w:tcPr>
                <w:p w14:paraId="58E1B887">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监测点位</w:t>
                  </w:r>
                </w:p>
              </w:tc>
              <w:tc>
                <w:tcPr>
                  <w:tcW w:w="1049" w:type="pct"/>
                  <w:noWrap w:val="0"/>
                  <w:vAlign w:val="center"/>
                </w:tcPr>
                <w:p w14:paraId="2F83FA61">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监测因子</w:t>
                  </w:r>
                </w:p>
              </w:tc>
              <w:tc>
                <w:tcPr>
                  <w:tcW w:w="642" w:type="pct"/>
                  <w:noWrap w:val="0"/>
                  <w:vAlign w:val="center"/>
                </w:tcPr>
                <w:p w14:paraId="532CB33E">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监测</w:t>
                  </w:r>
                </w:p>
                <w:p w14:paraId="644278CD">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频次</w:t>
                  </w:r>
                </w:p>
              </w:tc>
              <w:tc>
                <w:tcPr>
                  <w:tcW w:w="1850" w:type="pct"/>
                  <w:noWrap w:val="0"/>
                  <w:vAlign w:val="center"/>
                </w:tcPr>
                <w:p w14:paraId="67923770">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执行标准</w:t>
                  </w:r>
                </w:p>
              </w:tc>
            </w:tr>
            <w:tr w14:paraId="7C013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6" w:type="pct"/>
                  <w:noWrap w:val="0"/>
                  <w:vAlign w:val="center"/>
                </w:tcPr>
                <w:p w14:paraId="7C995FE6">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电磁环境</w:t>
                  </w:r>
                </w:p>
              </w:tc>
              <w:tc>
                <w:tcPr>
                  <w:tcW w:w="1012" w:type="pct"/>
                  <w:noWrap w:val="0"/>
                  <w:vAlign w:val="center"/>
                </w:tcPr>
                <w:p w14:paraId="46457BCE">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升压站厂界</w:t>
                  </w:r>
                </w:p>
              </w:tc>
              <w:tc>
                <w:tcPr>
                  <w:tcW w:w="1049" w:type="pct"/>
                  <w:noWrap w:val="0"/>
                  <w:vAlign w:val="center"/>
                </w:tcPr>
                <w:p w14:paraId="4144F48E">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工频电场、</w:t>
                  </w:r>
                </w:p>
                <w:p w14:paraId="16184FAD">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工频磁场</w:t>
                  </w:r>
                </w:p>
              </w:tc>
              <w:tc>
                <w:tcPr>
                  <w:tcW w:w="642" w:type="pct"/>
                  <w:noWrap w:val="0"/>
                  <w:vAlign w:val="center"/>
                </w:tcPr>
                <w:p w14:paraId="56488247">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1次/年</w:t>
                  </w:r>
                </w:p>
              </w:tc>
              <w:tc>
                <w:tcPr>
                  <w:tcW w:w="1850" w:type="pct"/>
                  <w:noWrap w:val="0"/>
                  <w:vAlign w:val="center"/>
                </w:tcPr>
                <w:p w14:paraId="040C6CFB">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《电磁环境控制限值》 （GB8702-2014）中的（电场强度≤4000V/m；磁感应强度≤100μT）</w:t>
                  </w:r>
                </w:p>
              </w:tc>
            </w:tr>
            <w:tr w14:paraId="7458A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6" w:type="pct"/>
                  <w:noWrap w:val="0"/>
                  <w:vAlign w:val="center"/>
                </w:tcPr>
                <w:p w14:paraId="41EADEA7">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声环境</w:t>
                  </w:r>
                </w:p>
              </w:tc>
              <w:tc>
                <w:tcPr>
                  <w:tcW w:w="1012" w:type="pct"/>
                  <w:noWrap w:val="0"/>
                  <w:vAlign w:val="center"/>
                </w:tcPr>
                <w:p w14:paraId="7DA674C0">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升压站厂界</w:t>
                  </w:r>
                </w:p>
              </w:tc>
              <w:tc>
                <w:tcPr>
                  <w:tcW w:w="1049" w:type="pct"/>
                  <w:noWrap w:val="0"/>
                  <w:vAlign w:val="center"/>
                </w:tcPr>
                <w:p w14:paraId="142F9298">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昼间、夜间连续等效A声级</w:t>
                  </w:r>
                </w:p>
              </w:tc>
              <w:tc>
                <w:tcPr>
                  <w:tcW w:w="642" w:type="pct"/>
                  <w:noWrap w:val="0"/>
                  <w:vAlign w:val="center"/>
                </w:tcPr>
                <w:p w14:paraId="14E4FEE3">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1次/季度</w:t>
                  </w:r>
                </w:p>
              </w:tc>
              <w:tc>
                <w:tcPr>
                  <w:tcW w:w="1850" w:type="pct"/>
                  <w:noWrap w:val="0"/>
                  <w:vAlign w:val="center"/>
                </w:tcPr>
                <w:p w14:paraId="66E62E4F">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《工业企业厂界环境噪声排放标准》（GB12348-2008）</w:t>
                  </w:r>
                  <w:r>
                    <w:rPr>
                      <w:rFonts w:hint="eastAsia"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类标准限值</w:t>
                  </w:r>
                </w:p>
              </w:tc>
            </w:tr>
          </w:tbl>
          <w:p w14:paraId="495092B8">
            <w:pPr>
              <w:keepNext w:val="0"/>
              <w:keepLines w:val="0"/>
              <w:pageBreakBefore w:val="0"/>
              <w:widowControl w:val="0"/>
              <w:wordWrap/>
              <w:topLinePunct w:val="0"/>
              <w:bidi w:val="0"/>
              <w:adjustRightInd w:val="0"/>
              <w:snapToGrid w:val="0"/>
              <w:spacing w:line="360" w:lineRule="auto"/>
              <w:rPr>
                <w:rFonts w:hint="default" w:ascii="Times New Roman" w:hAnsi="Times New Roman" w:cs="Times New Roman"/>
                <w:color w:val="auto"/>
                <w:highlight w:val="none"/>
                <w:lang w:val="en-US" w:eastAsia="zh-CN"/>
              </w:rPr>
            </w:pPr>
          </w:p>
        </w:tc>
      </w:tr>
      <w:tr w14:paraId="0C3954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28" w:type="pct"/>
            <w:noWrap w:val="0"/>
            <w:vAlign w:val="center"/>
          </w:tcPr>
          <w:p w14:paraId="1791CF0A">
            <w:pPr>
              <w:keepNext w:val="0"/>
              <w:keepLines w:val="0"/>
              <w:pageBreakBefore w:val="0"/>
              <w:widowControl w:val="0"/>
              <w:wordWrap/>
              <w:topLinePunct w:val="0"/>
              <w:bidi w:val="0"/>
              <w:adjustRightInd w:val="0"/>
              <w:snapToGrid w:val="0"/>
              <w:jc w:val="center"/>
              <w:rPr>
                <w:rFonts w:hint="default" w:ascii="Times New Roman" w:hAnsi="Times New Roman" w:cs="Times New Roman"/>
                <w:bCs/>
                <w:color w:val="auto"/>
                <w:spacing w:val="10"/>
                <w:sz w:val="24"/>
                <w:szCs w:val="24"/>
                <w:highlight w:val="none"/>
              </w:rPr>
            </w:pPr>
            <w:r>
              <w:rPr>
                <w:rFonts w:hint="default" w:ascii="Times New Roman" w:hAnsi="Times New Roman" w:cs="Times New Roman"/>
                <w:bCs/>
                <w:color w:val="auto"/>
                <w:sz w:val="24"/>
                <w:szCs w:val="24"/>
                <w:highlight w:val="none"/>
              </w:rPr>
              <w:t>其他</w:t>
            </w:r>
          </w:p>
        </w:tc>
        <w:tc>
          <w:tcPr>
            <w:tcW w:w="4571" w:type="pct"/>
            <w:noWrap w:val="0"/>
            <w:vAlign w:val="top"/>
          </w:tcPr>
          <w:p w14:paraId="0EF811BC">
            <w:pPr>
              <w:pStyle w:val="38"/>
              <w:keepNext w:val="0"/>
              <w:keepLines w:val="0"/>
              <w:pageBreakBefore w:val="0"/>
              <w:widowControl w:val="0"/>
              <w:numPr>
                <w:ilvl w:val="0"/>
                <w:numId w:val="0"/>
              </w:numPr>
              <w:wordWrap/>
              <w:topLinePunct w:val="0"/>
              <w:bidi w:val="0"/>
              <w:spacing w:line="520" w:lineRule="exact"/>
              <w:jc w:val="both"/>
              <w:rPr>
                <w:rFonts w:hint="default" w:ascii="Times New Roman" w:hAnsi="Times New Roman" w:cs="Times New Roman"/>
                <w:bCs/>
                <w:color w:val="auto"/>
                <w:kern w:val="2"/>
                <w:sz w:val="24"/>
                <w:szCs w:val="24"/>
                <w:highlight w:val="none"/>
                <w:lang w:val="en-US" w:eastAsia="zh-CN"/>
              </w:rPr>
            </w:pPr>
          </w:p>
          <w:p w14:paraId="686017F3">
            <w:pPr>
              <w:pStyle w:val="38"/>
              <w:keepNext w:val="0"/>
              <w:keepLines w:val="0"/>
              <w:pageBreakBefore w:val="0"/>
              <w:widowControl w:val="0"/>
              <w:numPr>
                <w:ilvl w:val="0"/>
                <w:numId w:val="0"/>
              </w:numPr>
              <w:wordWrap/>
              <w:topLinePunct w:val="0"/>
              <w:bidi w:val="0"/>
              <w:spacing w:line="520" w:lineRule="exact"/>
              <w:jc w:val="both"/>
              <w:rPr>
                <w:rFonts w:hint="default" w:ascii="Times New Roman" w:hAnsi="Times New Roman" w:cs="Times New Roman"/>
                <w:bCs/>
                <w:color w:val="auto"/>
                <w:kern w:val="2"/>
                <w:sz w:val="24"/>
                <w:szCs w:val="24"/>
                <w:highlight w:val="none"/>
                <w:lang w:val="en-US" w:eastAsia="zh-CN"/>
              </w:rPr>
            </w:pPr>
          </w:p>
          <w:p w14:paraId="3C15E251">
            <w:pPr>
              <w:pStyle w:val="38"/>
              <w:keepNext w:val="0"/>
              <w:keepLines w:val="0"/>
              <w:pageBreakBefore w:val="0"/>
              <w:widowControl w:val="0"/>
              <w:numPr>
                <w:ilvl w:val="0"/>
                <w:numId w:val="0"/>
              </w:numPr>
              <w:wordWrap/>
              <w:topLinePunct w:val="0"/>
              <w:bidi w:val="0"/>
              <w:spacing w:line="520" w:lineRule="exact"/>
              <w:jc w:val="both"/>
              <w:rPr>
                <w:rFonts w:hint="default" w:ascii="Times New Roman" w:hAnsi="Times New Roman" w:cs="Times New Roman"/>
                <w:bCs/>
                <w:color w:val="auto"/>
                <w:kern w:val="2"/>
                <w:sz w:val="24"/>
                <w:szCs w:val="24"/>
                <w:highlight w:val="none"/>
                <w:lang w:val="en-US" w:eastAsia="zh-CN"/>
              </w:rPr>
            </w:pPr>
          </w:p>
          <w:p w14:paraId="756C07B5">
            <w:pPr>
              <w:pStyle w:val="38"/>
              <w:keepNext w:val="0"/>
              <w:keepLines w:val="0"/>
              <w:pageBreakBefore w:val="0"/>
              <w:widowControl w:val="0"/>
              <w:numPr>
                <w:ilvl w:val="0"/>
                <w:numId w:val="0"/>
              </w:numPr>
              <w:wordWrap/>
              <w:topLinePunct w:val="0"/>
              <w:bidi w:val="0"/>
              <w:spacing w:line="520" w:lineRule="exact"/>
              <w:jc w:val="both"/>
              <w:rPr>
                <w:rFonts w:hint="default" w:ascii="Times New Roman" w:hAnsi="Times New Roman" w:cs="Times New Roman"/>
                <w:bCs/>
                <w:color w:val="auto"/>
                <w:kern w:val="2"/>
                <w:sz w:val="24"/>
                <w:szCs w:val="24"/>
                <w:highlight w:val="none"/>
                <w:lang w:val="en-US" w:eastAsia="zh-CN"/>
              </w:rPr>
            </w:pPr>
            <w:r>
              <w:rPr>
                <w:rFonts w:hint="default" w:ascii="Times New Roman" w:hAnsi="Times New Roman" w:cs="Times New Roman"/>
                <w:bCs/>
                <w:color w:val="auto"/>
                <w:kern w:val="2"/>
                <w:sz w:val="24"/>
                <w:szCs w:val="24"/>
                <w:highlight w:val="none"/>
                <w:lang w:val="en-US" w:eastAsia="zh-CN"/>
              </w:rPr>
              <w:t>/</w:t>
            </w:r>
          </w:p>
          <w:p w14:paraId="12516AC6">
            <w:pPr>
              <w:pStyle w:val="38"/>
              <w:keepNext w:val="0"/>
              <w:keepLines w:val="0"/>
              <w:pageBreakBefore w:val="0"/>
              <w:widowControl w:val="0"/>
              <w:numPr>
                <w:ilvl w:val="0"/>
                <w:numId w:val="0"/>
              </w:numPr>
              <w:wordWrap/>
              <w:topLinePunct w:val="0"/>
              <w:bidi w:val="0"/>
              <w:spacing w:line="520" w:lineRule="exact"/>
              <w:jc w:val="both"/>
              <w:rPr>
                <w:rFonts w:hint="default" w:ascii="Times New Roman" w:hAnsi="Times New Roman" w:cs="Times New Roman"/>
                <w:bCs/>
                <w:color w:val="auto"/>
                <w:kern w:val="2"/>
                <w:sz w:val="24"/>
                <w:szCs w:val="24"/>
                <w:highlight w:val="none"/>
                <w:lang w:val="en-US" w:eastAsia="zh-CN"/>
              </w:rPr>
            </w:pPr>
          </w:p>
          <w:p w14:paraId="77263BE2">
            <w:pPr>
              <w:pStyle w:val="38"/>
              <w:keepNext w:val="0"/>
              <w:keepLines w:val="0"/>
              <w:pageBreakBefore w:val="0"/>
              <w:widowControl w:val="0"/>
              <w:numPr>
                <w:ilvl w:val="0"/>
                <w:numId w:val="0"/>
              </w:numPr>
              <w:wordWrap/>
              <w:topLinePunct w:val="0"/>
              <w:bidi w:val="0"/>
              <w:spacing w:line="520" w:lineRule="exact"/>
              <w:jc w:val="both"/>
              <w:rPr>
                <w:rFonts w:hint="default" w:ascii="Times New Roman" w:hAnsi="Times New Roman" w:cs="Times New Roman"/>
                <w:bCs/>
                <w:color w:val="auto"/>
                <w:kern w:val="2"/>
                <w:sz w:val="24"/>
                <w:szCs w:val="24"/>
                <w:highlight w:val="none"/>
                <w:lang w:val="en-US" w:eastAsia="zh-CN"/>
              </w:rPr>
            </w:pPr>
          </w:p>
          <w:p w14:paraId="2D703275">
            <w:pPr>
              <w:pStyle w:val="38"/>
              <w:keepNext w:val="0"/>
              <w:keepLines w:val="0"/>
              <w:pageBreakBefore w:val="0"/>
              <w:widowControl w:val="0"/>
              <w:numPr>
                <w:ilvl w:val="0"/>
                <w:numId w:val="0"/>
              </w:numPr>
              <w:wordWrap/>
              <w:topLinePunct w:val="0"/>
              <w:bidi w:val="0"/>
              <w:spacing w:line="520" w:lineRule="exact"/>
              <w:jc w:val="both"/>
              <w:rPr>
                <w:rFonts w:hint="default" w:ascii="Times New Roman" w:hAnsi="Times New Roman" w:cs="Times New Roman"/>
                <w:bCs/>
                <w:color w:val="auto"/>
                <w:kern w:val="2"/>
                <w:sz w:val="24"/>
                <w:szCs w:val="24"/>
                <w:highlight w:val="none"/>
                <w:lang w:val="en-US" w:eastAsia="zh-CN"/>
              </w:rPr>
            </w:pPr>
          </w:p>
        </w:tc>
      </w:tr>
      <w:tr w14:paraId="524B9C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56" w:hRule="atLeast"/>
          <w:jc w:val="center"/>
        </w:trPr>
        <w:tc>
          <w:tcPr>
            <w:tcW w:w="428" w:type="pct"/>
            <w:noWrap w:val="0"/>
            <w:vAlign w:val="center"/>
          </w:tcPr>
          <w:p w14:paraId="61025F93">
            <w:pPr>
              <w:keepNext w:val="0"/>
              <w:keepLines w:val="0"/>
              <w:pageBreakBefore w:val="0"/>
              <w:widowControl w:val="0"/>
              <w:wordWrap/>
              <w:topLinePunct w:val="0"/>
              <w:bidi w:val="0"/>
              <w:adjustRightInd w:val="0"/>
              <w:snapToGrid w:val="0"/>
              <w:jc w:val="center"/>
              <w:rPr>
                <w:rFonts w:hint="default" w:ascii="Times New Roman" w:hAnsi="Times New Roman" w:cs="Times New Roman"/>
                <w:bCs/>
                <w:color w:val="auto"/>
                <w:spacing w:val="10"/>
                <w:szCs w:val="21"/>
                <w:highlight w:val="none"/>
              </w:rPr>
            </w:pPr>
            <w:r>
              <w:rPr>
                <w:rFonts w:hint="default" w:ascii="Times New Roman" w:hAnsi="Times New Roman" w:cs="Times New Roman"/>
                <w:bCs/>
                <w:color w:val="auto"/>
                <w:sz w:val="24"/>
                <w:szCs w:val="24"/>
                <w:highlight w:val="none"/>
              </w:rPr>
              <w:t>环保投资</w:t>
            </w:r>
          </w:p>
        </w:tc>
        <w:tc>
          <w:tcPr>
            <w:tcW w:w="4571" w:type="pct"/>
            <w:noWrap w:val="0"/>
            <w:vAlign w:val="top"/>
          </w:tcPr>
          <w:p w14:paraId="5D68D725">
            <w:pPr>
              <w:keepNext w:val="0"/>
              <w:keepLines w:val="0"/>
              <w:pageBreakBefore w:val="0"/>
              <w:widowControl w:val="0"/>
              <w:tabs>
                <w:tab w:val="left" w:pos="6480"/>
              </w:tabs>
              <w:wordWrap/>
              <w:topLinePunct w:val="0"/>
              <w:bidi w:val="0"/>
              <w:spacing w:before="120" w:beforeLines="50" w:line="360" w:lineRule="auto"/>
              <w:ind w:firstLine="480" w:firstLineChars="200"/>
              <w:rPr>
                <w:rFonts w:hint="default" w:ascii="Times New Roman" w:hAnsi="Times New Roman" w:eastAsia="宋体" w:cs="Times New Roman"/>
                <w:bCs/>
                <w:color w:val="auto"/>
                <w:sz w:val="24"/>
                <w:szCs w:val="24"/>
                <w:highlight w:val="none"/>
              </w:rPr>
            </w:pPr>
            <w:r>
              <w:rPr>
                <w:rFonts w:hint="eastAsia" w:eastAsia="宋体" w:cs="Times New Roman"/>
                <w:bCs/>
                <w:color w:val="auto"/>
                <w:sz w:val="24"/>
                <w:szCs w:val="24"/>
                <w:highlight w:val="none"/>
                <w:lang w:eastAsia="zh-CN"/>
              </w:rPr>
              <w:t>本项目</w:t>
            </w:r>
            <w:r>
              <w:rPr>
                <w:rFonts w:hint="default" w:ascii="Times New Roman" w:hAnsi="Times New Roman" w:eastAsia="宋体" w:cs="Times New Roman"/>
                <w:bCs/>
                <w:color w:val="auto"/>
                <w:sz w:val="24"/>
                <w:szCs w:val="24"/>
                <w:highlight w:val="none"/>
              </w:rPr>
              <w:t>总投资</w:t>
            </w:r>
            <w:r>
              <w:rPr>
                <w:rFonts w:hint="eastAsia" w:eastAsia="宋体" w:cs="Times New Roman"/>
                <w:bCs/>
                <w:color w:val="auto"/>
                <w:sz w:val="24"/>
                <w:szCs w:val="24"/>
                <w:highlight w:val="none"/>
                <w:lang w:val="en-US" w:eastAsia="zh-CN"/>
              </w:rPr>
              <w:t>207000</w:t>
            </w:r>
            <w:r>
              <w:rPr>
                <w:rFonts w:hint="default" w:ascii="Times New Roman" w:hAnsi="Times New Roman" w:eastAsia="宋体" w:cs="Times New Roman"/>
                <w:bCs/>
                <w:color w:val="auto"/>
                <w:sz w:val="24"/>
                <w:szCs w:val="24"/>
                <w:highlight w:val="none"/>
              </w:rPr>
              <w:t>万元，其中环保投资</w:t>
            </w:r>
            <w:r>
              <w:rPr>
                <w:rFonts w:hint="eastAsia" w:eastAsia="宋体" w:cs="Times New Roman"/>
                <w:bCs/>
                <w:color w:val="auto"/>
                <w:sz w:val="24"/>
                <w:szCs w:val="24"/>
                <w:highlight w:val="none"/>
                <w:lang w:val="en-US" w:eastAsia="zh-CN"/>
              </w:rPr>
              <w:t>99</w:t>
            </w:r>
            <w:r>
              <w:rPr>
                <w:rFonts w:hint="default" w:ascii="Times New Roman" w:hAnsi="Times New Roman" w:eastAsia="宋体" w:cs="Times New Roman"/>
                <w:bCs/>
                <w:color w:val="auto"/>
                <w:sz w:val="24"/>
                <w:szCs w:val="24"/>
                <w:highlight w:val="none"/>
              </w:rPr>
              <w:t>万元，占总投资的</w:t>
            </w:r>
            <w:r>
              <w:rPr>
                <w:rFonts w:hint="eastAsia" w:eastAsia="宋体" w:cs="Times New Roman"/>
                <w:bCs/>
                <w:color w:val="auto"/>
                <w:sz w:val="24"/>
                <w:szCs w:val="24"/>
                <w:highlight w:val="none"/>
                <w:lang w:val="en-US" w:eastAsia="zh-CN"/>
              </w:rPr>
              <w:t>0.05</w:t>
            </w:r>
            <w:r>
              <w:rPr>
                <w:rFonts w:hint="default" w:ascii="Times New Roman" w:hAnsi="Times New Roman" w:eastAsia="宋体" w:cs="Times New Roman"/>
                <w:bCs/>
                <w:color w:val="auto"/>
                <w:sz w:val="24"/>
                <w:szCs w:val="24"/>
                <w:highlight w:val="none"/>
              </w:rPr>
              <w:t>%。环保投资见表</w:t>
            </w:r>
            <w:r>
              <w:rPr>
                <w:rFonts w:hint="default" w:ascii="Times New Roman" w:hAnsi="Times New Roman" w:eastAsia="宋体" w:cs="Times New Roman"/>
                <w:bCs/>
                <w:color w:val="auto"/>
                <w:sz w:val="24"/>
                <w:szCs w:val="24"/>
                <w:highlight w:val="none"/>
                <w:lang w:val="en-US" w:eastAsia="zh-CN"/>
              </w:rPr>
              <w:t>5-</w:t>
            </w:r>
            <w:r>
              <w:rPr>
                <w:rFonts w:hint="eastAsia" w:eastAsia="宋体" w:cs="Times New Roman"/>
                <w:bCs/>
                <w:color w:val="auto"/>
                <w:sz w:val="24"/>
                <w:szCs w:val="24"/>
                <w:highlight w:val="none"/>
                <w:lang w:val="en-US" w:eastAsia="zh-CN"/>
              </w:rPr>
              <w:t>3。</w:t>
            </w:r>
          </w:p>
          <w:p w14:paraId="5FBD162C">
            <w:pPr>
              <w:keepNext w:val="0"/>
              <w:keepLines w:val="0"/>
              <w:pageBreakBefore w:val="0"/>
              <w:widowControl w:val="0"/>
              <w:tabs>
                <w:tab w:val="left" w:pos="6480"/>
              </w:tabs>
              <w:wordWrap/>
              <w:topLinePunct w:val="0"/>
              <w:bidi w:val="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w:t>
            </w:r>
            <w:r>
              <w:rPr>
                <w:rFonts w:hint="default" w:ascii="Times New Roman" w:hAnsi="Times New Roman" w:cs="Times New Roman"/>
                <w:b/>
                <w:color w:val="auto"/>
                <w:sz w:val="21"/>
                <w:szCs w:val="21"/>
                <w:highlight w:val="none"/>
                <w:lang w:val="en-US" w:eastAsia="zh-CN"/>
              </w:rPr>
              <w:t>5-</w:t>
            </w:r>
            <w:r>
              <w:rPr>
                <w:rFonts w:hint="eastAsia" w:cs="Times New Roman"/>
                <w:b/>
                <w:color w:val="auto"/>
                <w:sz w:val="21"/>
                <w:szCs w:val="21"/>
                <w:highlight w:val="none"/>
                <w:lang w:val="en-US" w:eastAsia="zh-CN"/>
              </w:rPr>
              <w:t>3</w:t>
            </w:r>
            <w:r>
              <w:rPr>
                <w:rFonts w:hint="default" w:ascii="Times New Roman" w:hAnsi="Times New Roman" w:cs="Times New Roman"/>
                <w:b/>
                <w:color w:val="auto"/>
                <w:sz w:val="21"/>
                <w:szCs w:val="21"/>
                <w:highlight w:val="none"/>
                <w:lang w:val="en-US" w:eastAsia="zh-CN"/>
              </w:rPr>
              <w:t xml:space="preserve"> </w:t>
            </w:r>
            <w:r>
              <w:rPr>
                <w:rFonts w:hint="default" w:ascii="Times New Roman" w:hAnsi="Times New Roman" w:cs="Times New Roman"/>
                <w:b/>
                <w:color w:val="auto"/>
                <w:sz w:val="21"/>
                <w:szCs w:val="21"/>
                <w:highlight w:val="none"/>
              </w:rPr>
              <w:t xml:space="preserve"> </w:t>
            </w:r>
            <w:r>
              <w:rPr>
                <w:rFonts w:hint="default" w:ascii="Times New Roman" w:hAnsi="Times New Roman" w:cs="Times New Roman"/>
                <w:b/>
                <w:color w:val="auto"/>
                <w:sz w:val="21"/>
                <w:szCs w:val="21"/>
                <w:highlight w:val="none"/>
                <w:lang w:val="en-US" w:eastAsia="zh-CN"/>
              </w:rPr>
              <w:t xml:space="preserve">  </w:t>
            </w:r>
            <w:r>
              <w:rPr>
                <w:rFonts w:hint="default" w:ascii="Times New Roman" w:hAnsi="Times New Roman" w:cs="Times New Roman"/>
                <w:b/>
                <w:color w:val="auto"/>
                <w:sz w:val="21"/>
                <w:szCs w:val="21"/>
                <w:highlight w:val="none"/>
              </w:rPr>
              <w:t>环保投资一览表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0"/>
              <w:gridCol w:w="763"/>
              <w:gridCol w:w="768"/>
              <w:gridCol w:w="3677"/>
              <w:gridCol w:w="1324"/>
            </w:tblGrid>
            <w:tr w14:paraId="01967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noWrap w:val="0"/>
                  <w:vAlign w:val="center"/>
                </w:tcPr>
                <w:p w14:paraId="70CA72F2">
                  <w:pPr>
                    <w:keepNext w:val="0"/>
                    <w:keepLines w:val="0"/>
                    <w:pageBreakBefore w:val="0"/>
                    <w:widowControl w:val="0"/>
                    <w:tabs>
                      <w:tab w:val="left" w:pos="6480"/>
                    </w:tabs>
                    <w:wordWrap/>
                    <w:topLinePunct w:val="0"/>
                    <w:bidi w:val="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时段</w:t>
                  </w:r>
                </w:p>
              </w:tc>
              <w:tc>
                <w:tcPr>
                  <w:tcW w:w="1001" w:type="pct"/>
                  <w:gridSpan w:val="2"/>
                  <w:noWrap w:val="0"/>
                  <w:vAlign w:val="center"/>
                </w:tcPr>
                <w:p w14:paraId="55486285">
                  <w:pPr>
                    <w:keepNext w:val="0"/>
                    <w:keepLines w:val="0"/>
                    <w:pageBreakBefore w:val="0"/>
                    <w:widowControl w:val="0"/>
                    <w:tabs>
                      <w:tab w:val="left" w:pos="6480"/>
                    </w:tabs>
                    <w:wordWrap/>
                    <w:topLinePunct w:val="0"/>
                    <w:bidi w:val="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项目</w:t>
                  </w:r>
                </w:p>
              </w:tc>
              <w:tc>
                <w:tcPr>
                  <w:tcW w:w="2405" w:type="pct"/>
                  <w:noWrap w:val="0"/>
                  <w:vAlign w:val="center"/>
                </w:tcPr>
                <w:p w14:paraId="31D07CC8">
                  <w:pPr>
                    <w:keepNext w:val="0"/>
                    <w:keepLines w:val="0"/>
                    <w:pageBreakBefore w:val="0"/>
                    <w:widowControl w:val="0"/>
                    <w:tabs>
                      <w:tab w:val="left" w:pos="6480"/>
                    </w:tabs>
                    <w:wordWrap/>
                    <w:topLinePunct w:val="0"/>
                    <w:bidi w:val="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环保措施</w:t>
                  </w:r>
                </w:p>
              </w:tc>
              <w:tc>
                <w:tcPr>
                  <w:tcW w:w="866" w:type="pct"/>
                  <w:noWrap w:val="0"/>
                  <w:vAlign w:val="center"/>
                </w:tcPr>
                <w:p w14:paraId="61AD017C">
                  <w:pPr>
                    <w:keepNext w:val="0"/>
                    <w:keepLines w:val="0"/>
                    <w:pageBreakBefore w:val="0"/>
                    <w:widowControl w:val="0"/>
                    <w:tabs>
                      <w:tab w:val="left" w:pos="6480"/>
                    </w:tabs>
                    <w:wordWrap/>
                    <w:topLinePunct w:val="0"/>
                    <w:bidi w:val="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投资（万元）</w:t>
                  </w:r>
                </w:p>
              </w:tc>
            </w:tr>
            <w:tr w14:paraId="14196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vMerge w:val="restart"/>
                  <w:noWrap w:val="0"/>
                  <w:vAlign w:val="center"/>
                </w:tcPr>
                <w:p w14:paraId="1CD74536">
                  <w:pPr>
                    <w:keepNext w:val="0"/>
                    <w:keepLines w:val="0"/>
                    <w:pageBreakBefore w:val="0"/>
                    <w:widowControl w:val="0"/>
                    <w:tabs>
                      <w:tab w:val="left" w:pos="6480"/>
                    </w:tabs>
                    <w:wordWrap/>
                    <w:topLinePunct w:val="0"/>
                    <w:bidi w:val="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施工期</w:t>
                  </w:r>
                </w:p>
              </w:tc>
              <w:tc>
                <w:tcPr>
                  <w:tcW w:w="1001" w:type="pct"/>
                  <w:gridSpan w:val="2"/>
                  <w:noWrap w:val="0"/>
                  <w:vAlign w:val="center"/>
                </w:tcPr>
                <w:p w14:paraId="109C56C1">
                  <w:pPr>
                    <w:keepNext w:val="0"/>
                    <w:keepLines w:val="0"/>
                    <w:pageBreakBefore w:val="0"/>
                    <w:widowControl w:val="0"/>
                    <w:tabs>
                      <w:tab w:val="left" w:pos="6480"/>
                    </w:tabs>
                    <w:wordWrap/>
                    <w:topLinePunct w:val="0"/>
                    <w:bidi w:val="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eastAsia="zh-CN"/>
                    </w:rPr>
                    <w:t>施工扬尘</w:t>
                  </w:r>
                </w:p>
              </w:tc>
              <w:tc>
                <w:tcPr>
                  <w:tcW w:w="2405" w:type="pct"/>
                  <w:noWrap w:val="0"/>
                  <w:vAlign w:val="center"/>
                </w:tcPr>
                <w:p w14:paraId="3BFC9089">
                  <w:pPr>
                    <w:keepNext w:val="0"/>
                    <w:keepLines w:val="0"/>
                    <w:pageBreakBefore w:val="0"/>
                    <w:widowControl w:val="0"/>
                    <w:tabs>
                      <w:tab w:val="left" w:pos="6480"/>
                    </w:tabs>
                    <w:wordWrap/>
                    <w:topLinePunct w:val="0"/>
                    <w:bidi w:val="0"/>
                    <w:jc w:val="left"/>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eastAsia="zh-CN"/>
                    </w:rPr>
                    <w:t>洒水、防风抑尘网等扬尘治理措施</w:t>
                  </w:r>
                </w:p>
              </w:tc>
              <w:tc>
                <w:tcPr>
                  <w:tcW w:w="866" w:type="pct"/>
                  <w:noWrap w:val="0"/>
                  <w:vAlign w:val="center"/>
                </w:tcPr>
                <w:p w14:paraId="40804970">
                  <w:pPr>
                    <w:keepNext w:val="0"/>
                    <w:keepLines w:val="0"/>
                    <w:pageBreakBefore w:val="0"/>
                    <w:widowControl w:val="0"/>
                    <w:tabs>
                      <w:tab w:val="left" w:pos="6480"/>
                    </w:tabs>
                    <w:wordWrap/>
                    <w:topLinePunct w:val="0"/>
                    <w:bidi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20</w:t>
                  </w:r>
                </w:p>
              </w:tc>
            </w:tr>
            <w:tr w14:paraId="3F082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vMerge w:val="continue"/>
                  <w:noWrap w:val="0"/>
                  <w:vAlign w:val="center"/>
                </w:tcPr>
                <w:p w14:paraId="752B6505">
                  <w:pPr>
                    <w:keepNext w:val="0"/>
                    <w:keepLines w:val="0"/>
                    <w:pageBreakBefore w:val="0"/>
                    <w:widowControl w:val="0"/>
                    <w:tabs>
                      <w:tab w:val="left" w:pos="6480"/>
                    </w:tabs>
                    <w:wordWrap/>
                    <w:topLinePunct w:val="0"/>
                    <w:bidi w:val="0"/>
                    <w:jc w:val="center"/>
                    <w:rPr>
                      <w:rFonts w:hint="default" w:ascii="Times New Roman" w:hAnsi="Times New Roman" w:cs="Times New Roman"/>
                      <w:bCs/>
                      <w:color w:val="auto"/>
                      <w:sz w:val="21"/>
                      <w:szCs w:val="21"/>
                      <w:highlight w:val="none"/>
                    </w:rPr>
                  </w:pPr>
                </w:p>
              </w:tc>
              <w:tc>
                <w:tcPr>
                  <w:tcW w:w="1001" w:type="pct"/>
                  <w:gridSpan w:val="2"/>
                  <w:noWrap w:val="0"/>
                  <w:vAlign w:val="center"/>
                </w:tcPr>
                <w:p w14:paraId="20B75164">
                  <w:pPr>
                    <w:keepNext w:val="0"/>
                    <w:keepLines w:val="0"/>
                    <w:pageBreakBefore w:val="0"/>
                    <w:widowControl w:val="0"/>
                    <w:tabs>
                      <w:tab w:val="left" w:pos="6480"/>
                    </w:tabs>
                    <w:wordWrap/>
                    <w:topLinePunct w:val="0"/>
                    <w:bidi w:val="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施工废水</w:t>
                  </w:r>
                </w:p>
              </w:tc>
              <w:tc>
                <w:tcPr>
                  <w:tcW w:w="2405" w:type="pct"/>
                  <w:noWrap w:val="0"/>
                  <w:vAlign w:val="center"/>
                </w:tcPr>
                <w:p w14:paraId="5889B9A6">
                  <w:pPr>
                    <w:keepNext w:val="0"/>
                    <w:keepLines w:val="0"/>
                    <w:pageBreakBefore w:val="0"/>
                    <w:widowControl w:val="0"/>
                    <w:tabs>
                      <w:tab w:val="left" w:pos="6480"/>
                    </w:tabs>
                    <w:wordWrap/>
                    <w:topLinePunct w:val="0"/>
                    <w:bidi w:val="0"/>
                    <w:jc w:val="left"/>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eastAsia="zh-CN"/>
                    </w:rPr>
                    <w:t>隔油沉淀池</w:t>
                  </w:r>
                </w:p>
              </w:tc>
              <w:tc>
                <w:tcPr>
                  <w:tcW w:w="866" w:type="pct"/>
                  <w:noWrap w:val="0"/>
                  <w:vAlign w:val="center"/>
                </w:tcPr>
                <w:p w14:paraId="124ACB76">
                  <w:pPr>
                    <w:keepNext w:val="0"/>
                    <w:keepLines w:val="0"/>
                    <w:pageBreakBefore w:val="0"/>
                    <w:widowControl w:val="0"/>
                    <w:tabs>
                      <w:tab w:val="left" w:pos="6480"/>
                    </w:tabs>
                    <w:wordWrap/>
                    <w:topLinePunct w:val="0"/>
                    <w:bidi w:val="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val="en-US" w:eastAsia="zh-CN"/>
                    </w:rPr>
                    <w:t>2</w:t>
                  </w:r>
                </w:p>
              </w:tc>
            </w:tr>
            <w:tr w14:paraId="056C8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vMerge w:val="continue"/>
                  <w:noWrap w:val="0"/>
                  <w:vAlign w:val="center"/>
                </w:tcPr>
                <w:p w14:paraId="55313BCB">
                  <w:pPr>
                    <w:keepNext w:val="0"/>
                    <w:keepLines w:val="0"/>
                    <w:pageBreakBefore w:val="0"/>
                    <w:widowControl w:val="0"/>
                    <w:tabs>
                      <w:tab w:val="left" w:pos="6480"/>
                    </w:tabs>
                    <w:wordWrap/>
                    <w:topLinePunct w:val="0"/>
                    <w:bidi w:val="0"/>
                    <w:jc w:val="center"/>
                    <w:rPr>
                      <w:rFonts w:hint="default" w:ascii="Times New Roman" w:hAnsi="Times New Roman" w:cs="Times New Roman"/>
                      <w:bCs/>
                      <w:color w:val="auto"/>
                      <w:sz w:val="21"/>
                      <w:szCs w:val="21"/>
                      <w:highlight w:val="none"/>
                    </w:rPr>
                  </w:pPr>
                </w:p>
              </w:tc>
              <w:tc>
                <w:tcPr>
                  <w:tcW w:w="1001" w:type="pct"/>
                  <w:gridSpan w:val="2"/>
                  <w:noWrap w:val="0"/>
                  <w:vAlign w:val="center"/>
                </w:tcPr>
                <w:p w14:paraId="01DAAB58">
                  <w:pPr>
                    <w:keepNext w:val="0"/>
                    <w:keepLines w:val="0"/>
                    <w:pageBreakBefore w:val="0"/>
                    <w:widowControl w:val="0"/>
                    <w:tabs>
                      <w:tab w:val="left" w:pos="6480"/>
                    </w:tabs>
                    <w:wordWrap/>
                    <w:topLinePunct w:val="0"/>
                    <w:bidi w:val="0"/>
                    <w:jc w:val="center"/>
                    <w:rPr>
                      <w:rFonts w:hint="default" w:ascii="Times New Roman" w:hAnsi="Times New Roman"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eastAsia="zh-CN"/>
                    </w:rPr>
                    <w:t>施工</w:t>
                  </w:r>
                  <w:r>
                    <w:rPr>
                      <w:rFonts w:hint="default" w:ascii="Times New Roman" w:hAnsi="Times New Roman" w:cs="Times New Roman"/>
                      <w:bCs/>
                      <w:color w:val="auto"/>
                      <w:sz w:val="21"/>
                      <w:szCs w:val="21"/>
                      <w:highlight w:val="none"/>
                    </w:rPr>
                    <w:t>生活污水</w:t>
                  </w:r>
                </w:p>
              </w:tc>
              <w:tc>
                <w:tcPr>
                  <w:tcW w:w="2405" w:type="pct"/>
                  <w:noWrap w:val="0"/>
                  <w:vAlign w:val="center"/>
                </w:tcPr>
                <w:p w14:paraId="6C27DDFD">
                  <w:pPr>
                    <w:keepNext w:val="0"/>
                    <w:keepLines w:val="0"/>
                    <w:pageBreakBefore w:val="0"/>
                    <w:widowControl w:val="0"/>
                    <w:tabs>
                      <w:tab w:val="left" w:pos="6480"/>
                    </w:tabs>
                    <w:wordWrap/>
                    <w:topLinePunct w:val="0"/>
                    <w:bidi w:val="0"/>
                    <w:jc w:val="left"/>
                    <w:rPr>
                      <w:rFonts w:hint="default" w:ascii="Times New Roman" w:hAnsi="Times New Roman" w:eastAsia="宋体" w:cs="Times New Roman"/>
                      <w:bCs/>
                      <w:color w:val="auto"/>
                      <w:kern w:val="2"/>
                      <w:sz w:val="21"/>
                      <w:szCs w:val="21"/>
                      <w:highlight w:val="none"/>
                      <w:lang w:val="en-US" w:eastAsia="zh-CN" w:bidi="ar-SA"/>
                    </w:rPr>
                  </w:pPr>
                  <w:r>
                    <w:rPr>
                      <w:rFonts w:hint="eastAsia" w:eastAsia="宋体" w:cs="Times New Roman"/>
                      <w:bCs/>
                      <w:color w:val="auto"/>
                      <w:kern w:val="2"/>
                      <w:sz w:val="21"/>
                      <w:szCs w:val="21"/>
                      <w:highlight w:val="none"/>
                      <w:lang w:val="en-US" w:eastAsia="zh-CN" w:bidi="ar-SA"/>
                    </w:rPr>
                    <w:t>接通下水管网</w:t>
                  </w:r>
                </w:p>
              </w:tc>
              <w:tc>
                <w:tcPr>
                  <w:tcW w:w="866" w:type="pct"/>
                  <w:noWrap w:val="0"/>
                  <w:vAlign w:val="center"/>
                </w:tcPr>
                <w:p w14:paraId="30B965A6">
                  <w:pPr>
                    <w:keepNext w:val="0"/>
                    <w:keepLines w:val="0"/>
                    <w:pageBreakBefore w:val="0"/>
                    <w:widowControl w:val="0"/>
                    <w:tabs>
                      <w:tab w:val="left" w:pos="6480"/>
                    </w:tabs>
                    <w:wordWrap/>
                    <w:topLinePunct w:val="0"/>
                    <w:bidi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eastAsia="宋体" w:cs="Times New Roman"/>
                      <w:bCs/>
                      <w:color w:val="auto"/>
                      <w:kern w:val="2"/>
                      <w:sz w:val="21"/>
                      <w:szCs w:val="21"/>
                      <w:highlight w:val="none"/>
                      <w:lang w:val="en-US" w:eastAsia="zh-CN" w:bidi="ar-SA"/>
                    </w:rPr>
                    <w:t>1</w:t>
                  </w:r>
                </w:p>
              </w:tc>
            </w:tr>
            <w:tr w14:paraId="43FDA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vMerge w:val="continue"/>
                  <w:noWrap w:val="0"/>
                  <w:vAlign w:val="center"/>
                </w:tcPr>
                <w:p w14:paraId="3EC755E6">
                  <w:pPr>
                    <w:keepNext w:val="0"/>
                    <w:keepLines w:val="0"/>
                    <w:pageBreakBefore w:val="0"/>
                    <w:widowControl w:val="0"/>
                    <w:tabs>
                      <w:tab w:val="left" w:pos="6480"/>
                    </w:tabs>
                    <w:wordWrap/>
                    <w:topLinePunct w:val="0"/>
                    <w:bidi w:val="0"/>
                    <w:jc w:val="center"/>
                    <w:rPr>
                      <w:rFonts w:hint="default" w:ascii="Times New Roman" w:hAnsi="Times New Roman" w:cs="Times New Roman"/>
                      <w:bCs/>
                      <w:color w:val="auto"/>
                      <w:sz w:val="21"/>
                      <w:szCs w:val="21"/>
                      <w:highlight w:val="none"/>
                    </w:rPr>
                  </w:pPr>
                </w:p>
              </w:tc>
              <w:tc>
                <w:tcPr>
                  <w:tcW w:w="1001" w:type="pct"/>
                  <w:gridSpan w:val="2"/>
                  <w:noWrap w:val="0"/>
                  <w:vAlign w:val="center"/>
                </w:tcPr>
                <w:p w14:paraId="165703B6">
                  <w:pPr>
                    <w:keepNext w:val="0"/>
                    <w:keepLines w:val="0"/>
                    <w:pageBreakBefore w:val="0"/>
                    <w:widowControl w:val="0"/>
                    <w:tabs>
                      <w:tab w:val="left" w:pos="6480"/>
                    </w:tabs>
                    <w:wordWrap/>
                    <w:topLinePunct w:val="0"/>
                    <w:bidi w:val="0"/>
                    <w:jc w:val="center"/>
                    <w:rPr>
                      <w:rFonts w:hint="default" w:ascii="Times New Roman" w:hAnsi="Times New Roman" w:cs="Times New Roman"/>
                      <w:bCs/>
                      <w:color w:val="auto"/>
                      <w:sz w:val="21"/>
                      <w:szCs w:val="21"/>
                      <w:highlight w:val="none"/>
                      <w:lang w:eastAsia="zh-CN"/>
                    </w:rPr>
                  </w:pPr>
                  <w:r>
                    <w:rPr>
                      <w:rFonts w:hint="default" w:ascii="Times New Roman" w:hAnsi="Times New Roman" w:cs="Times New Roman"/>
                      <w:bCs/>
                      <w:color w:val="auto"/>
                      <w:sz w:val="21"/>
                      <w:szCs w:val="21"/>
                      <w:highlight w:val="none"/>
                      <w:lang w:eastAsia="zh-CN"/>
                    </w:rPr>
                    <w:t>施工噪声</w:t>
                  </w:r>
                </w:p>
              </w:tc>
              <w:tc>
                <w:tcPr>
                  <w:tcW w:w="2405" w:type="pct"/>
                  <w:noWrap w:val="0"/>
                  <w:vAlign w:val="center"/>
                </w:tcPr>
                <w:p w14:paraId="710A9615">
                  <w:pPr>
                    <w:keepNext w:val="0"/>
                    <w:keepLines w:val="0"/>
                    <w:pageBreakBefore w:val="0"/>
                    <w:widowControl w:val="0"/>
                    <w:tabs>
                      <w:tab w:val="left" w:pos="6480"/>
                    </w:tabs>
                    <w:wordWrap/>
                    <w:topLinePunct w:val="0"/>
                    <w:bidi w:val="0"/>
                    <w:jc w:val="left"/>
                    <w:rPr>
                      <w:rFonts w:hint="default" w:ascii="Times New Roman" w:hAnsi="Times New Roman" w:cs="Times New Roman"/>
                      <w:bCs/>
                      <w:color w:val="auto"/>
                      <w:sz w:val="21"/>
                      <w:szCs w:val="21"/>
                      <w:highlight w:val="none"/>
                      <w:lang w:eastAsia="zh-CN"/>
                    </w:rPr>
                  </w:pPr>
                  <w:r>
                    <w:rPr>
                      <w:rFonts w:hint="default" w:ascii="Times New Roman" w:hAnsi="Times New Roman" w:cs="Times New Roman"/>
                      <w:bCs/>
                      <w:color w:val="auto"/>
                      <w:sz w:val="21"/>
                      <w:szCs w:val="21"/>
                      <w:highlight w:val="none"/>
                      <w:lang w:eastAsia="zh-CN"/>
                    </w:rPr>
                    <w:t>低噪声设备、设备维修、养护</w:t>
                  </w:r>
                </w:p>
              </w:tc>
              <w:tc>
                <w:tcPr>
                  <w:tcW w:w="866" w:type="pct"/>
                  <w:noWrap w:val="0"/>
                  <w:vAlign w:val="center"/>
                </w:tcPr>
                <w:p w14:paraId="21E16B4D">
                  <w:pPr>
                    <w:keepNext w:val="0"/>
                    <w:keepLines w:val="0"/>
                    <w:pageBreakBefore w:val="0"/>
                    <w:widowControl w:val="0"/>
                    <w:tabs>
                      <w:tab w:val="left" w:pos="6480"/>
                    </w:tabs>
                    <w:wordWrap/>
                    <w:topLinePunct w:val="0"/>
                    <w:bidi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4</w:t>
                  </w:r>
                </w:p>
              </w:tc>
            </w:tr>
            <w:tr w14:paraId="4D53C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vMerge w:val="continue"/>
                  <w:noWrap w:val="0"/>
                  <w:vAlign w:val="center"/>
                </w:tcPr>
                <w:p w14:paraId="0CBA97D7">
                  <w:pPr>
                    <w:keepNext w:val="0"/>
                    <w:keepLines w:val="0"/>
                    <w:pageBreakBefore w:val="0"/>
                    <w:widowControl w:val="0"/>
                    <w:tabs>
                      <w:tab w:val="left" w:pos="6480"/>
                    </w:tabs>
                    <w:wordWrap/>
                    <w:topLinePunct w:val="0"/>
                    <w:bidi w:val="0"/>
                    <w:jc w:val="center"/>
                    <w:rPr>
                      <w:rFonts w:hint="default" w:ascii="Times New Roman" w:hAnsi="Times New Roman" w:cs="Times New Roman"/>
                      <w:bCs/>
                      <w:color w:val="auto"/>
                      <w:sz w:val="21"/>
                      <w:szCs w:val="21"/>
                      <w:highlight w:val="none"/>
                    </w:rPr>
                  </w:pPr>
                </w:p>
              </w:tc>
              <w:tc>
                <w:tcPr>
                  <w:tcW w:w="499" w:type="pct"/>
                  <w:vMerge w:val="restart"/>
                  <w:noWrap w:val="0"/>
                  <w:vAlign w:val="center"/>
                </w:tcPr>
                <w:p w14:paraId="056090F7">
                  <w:pPr>
                    <w:keepNext w:val="0"/>
                    <w:keepLines w:val="0"/>
                    <w:pageBreakBefore w:val="0"/>
                    <w:widowControl w:val="0"/>
                    <w:tabs>
                      <w:tab w:val="left" w:pos="6480"/>
                    </w:tabs>
                    <w:wordWrap/>
                    <w:topLinePunct w:val="0"/>
                    <w:bidi w:val="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eastAsia="zh-CN"/>
                    </w:rPr>
                    <w:t>施工固废</w:t>
                  </w:r>
                </w:p>
              </w:tc>
              <w:tc>
                <w:tcPr>
                  <w:tcW w:w="502" w:type="pct"/>
                  <w:noWrap w:val="0"/>
                  <w:vAlign w:val="center"/>
                </w:tcPr>
                <w:p w14:paraId="1F24D869">
                  <w:pPr>
                    <w:keepNext w:val="0"/>
                    <w:keepLines w:val="0"/>
                    <w:pageBreakBefore w:val="0"/>
                    <w:widowControl w:val="0"/>
                    <w:tabs>
                      <w:tab w:val="left" w:pos="6480"/>
                    </w:tabs>
                    <w:wordWrap/>
                    <w:topLinePunct w:val="0"/>
                    <w:bidi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eastAsia="zh-CN"/>
                    </w:rPr>
                    <w:t>建筑垃圾</w:t>
                  </w:r>
                </w:p>
              </w:tc>
              <w:tc>
                <w:tcPr>
                  <w:tcW w:w="2405" w:type="pct"/>
                  <w:noWrap w:val="0"/>
                  <w:vAlign w:val="center"/>
                </w:tcPr>
                <w:p w14:paraId="28E895D0">
                  <w:pPr>
                    <w:keepNext w:val="0"/>
                    <w:keepLines w:val="0"/>
                    <w:pageBreakBefore w:val="0"/>
                    <w:widowControl w:val="0"/>
                    <w:tabs>
                      <w:tab w:val="left" w:pos="6480"/>
                    </w:tabs>
                    <w:wordWrap/>
                    <w:topLinePunct w:val="0"/>
                    <w:bidi w:val="0"/>
                    <w:jc w:val="left"/>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eastAsia="zh-CN"/>
                    </w:rPr>
                    <w:t>建筑垃圾收集及处理费</w:t>
                  </w:r>
                </w:p>
              </w:tc>
              <w:tc>
                <w:tcPr>
                  <w:tcW w:w="866" w:type="pct"/>
                  <w:noWrap w:val="0"/>
                  <w:vAlign w:val="center"/>
                </w:tcPr>
                <w:p w14:paraId="1D511EB1">
                  <w:pPr>
                    <w:keepNext w:val="0"/>
                    <w:keepLines w:val="0"/>
                    <w:pageBreakBefore w:val="0"/>
                    <w:widowControl w:val="0"/>
                    <w:tabs>
                      <w:tab w:val="left" w:pos="6480"/>
                    </w:tabs>
                    <w:wordWrap/>
                    <w:topLinePunct w:val="0"/>
                    <w:bidi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8</w:t>
                  </w:r>
                </w:p>
              </w:tc>
            </w:tr>
            <w:tr w14:paraId="3F0FC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vMerge w:val="continue"/>
                  <w:noWrap w:val="0"/>
                  <w:vAlign w:val="center"/>
                </w:tcPr>
                <w:p w14:paraId="546AD000">
                  <w:pPr>
                    <w:keepNext w:val="0"/>
                    <w:keepLines w:val="0"/>
                    <w:pageBreakBefore w:val="0"/>
                    <w:widowControl w:val="0"/>
                    <w:tabs>
                      <w:tab w:val="left" w:pos="6480"/>
                    </w:tabs>
                    <w:wordWrap/>
                    <w:topLinePunct w:val="0"/>
                    <w:bidi w:val="0"/>
                    <w:jc w:val="center"/>
                    <w:rPr>
                      <w:rFonts w:hint="default" w:ascii="Times New Roman" w:hAnsi="Times New Roman" w:cs="Times New Roman"/>
                      <w:bCs/>
                      <w:color w:val="auto"/>
                      <w:sz w:val="21"/>
                      <w:szCs w:val="21"/>
                      <w:highlight w:val="none"/>
                    </w:rPr>
                  </w:pPr>
                </w:p>
              </w:tc>
              <w:tc>
                <w:tcPr>
                  <w:tcW w:w="499" w:type="pct"/>
                  <w:vMerge w:val="continue"/>
                  <w:noWrap w:val="0"/>
                  <w:vAlign w:val="center"/>
                </w:tcPr>
                <w:p w14:paraId="7F3A9946">
                  <w:pPr>
                    <w:keepNext w:val="0"/>
                    <w:keepLines w:val="0"/>
                    <w:pageBreakBefore w:val="0"/>
                    <w:widowControl w:val="0"/>
                    <w:tabs>
                      <w:tab w:val="left" w:pos="6480"/>
                    </w:tabs>
                    <w:wordWrap/>
                    <w:topLinePunct w:val="0"/>
                    <w:bidi w:val="0"/>
                    <w:jc w:val="center"/>
                    <w:rPr>
                      <w:rFonts w:hint="default" w:ascii="Times New Roman" w:hAnsi="Times New Roman" w:cs="Times New Roman"/>
                      <w:bCs/>
                      <w:color w:val="auto"/>
                      <w:sz w:val="21"/>
                      <w:szCs w:val="21"/>
                      <w:highlight w:val="none"/>
                    </w:rPr>
                  </w:pPr>
                </w:p>
              </w:tc>
              <w:tc>
                <w:tcPr>
                  <w:tcW w:w="502" w:type="pct"/>
                  <w:noWrap w:val="0"/>
                  <w:vAlign w:val="center"/>
                </w:tcPr>
                <w:p w14:paraId="243BB347">
                  <w:pPr>
                    <w:keepNext w:val="0"/>
                    <w:keepLines w:val="0"/>
                    <w:pageBreakBefore w:val="0"/>
                    <w:widowControl w:val="0"/>
                    <w:tabs>
                      <w:tab w:val="left" w:pos="6480"/>
                    </w:tabs>
                    <w:wordWrap/>
                    <w:topLinePunct w:val="0"/>
                    <w:bidi w:val="0"/>
                    <w:jc w:val="center"/>
                    <w:rPr>
                      <w:rFonts w:hint="default" w:ascii="Times New Roman" w:hAnsi="Times New Roman"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生活垃圾</w:t>
                  </w:r>
                </w:p>
              </w:tc>
              <w:tc>
                <w:tcPr>
                  <w:tcW w:w="2405" w:type="pct"/>
                  <w:noWrap w:val="0"/>
                  <w:vAlign w:val="center"/>
                </w:tcPr>
                <w:p w14:paraId="1024C1CE">
                  <w:pPr>
                    <w:keepNext w:val="0"/>
                    <w:keepLines w:val="0"/>
                    <w:pageBreakBefore w:val="0"/>
                    <w:widowControl w:val="0"/>
                    <w:tabs>
                      <w:tab w:val="left" w:pos="6480"/>
                    </w:tabs>
                    <w:wordWrap/>
                    <w:topLinePunct w:val="0"/>
                    <w:bidi w:val="0"/>
                    <w:jc w:val="left"/>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eastAsia="zh-CN"/>
                    </w:rPr>
                    <w:t>生活垃圾收集及处理费</w:t>
                  </w:r>
                </w:p>
              </w:tc>
              <w:tc>
                <w:tcPr>
                  <w:tcW w:w="866" w:type="pct"/>
                  <w:noWrap w:val="0"/>
                  <w:vAlign w:val="center"/>
                </w:tcPr>
                <w:p w14:paraId="35405652">
                  <w:pPr>
                    <w:keepNext w:val="0"/>
                    <w:keepLines w:val="0"/>
                    <w:pageBreakBefore w:val="0"/>
                    <w:widowControl w:val="0"/>
                    <w:tabs>
                      <w:tab w:val="left" w:pos="6480"/>
                    </w:tabs>
                    <w:wordWrap/>
                    <w:topLinePunct w:val="0"/>
                    <w:bidi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w:t>
                  </w:r>
                </w:p>
              </w:tc>
            </w:tr>
            <w:tr w14:paraId="59244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vMerge w:val="continue"/>
                  <w:noWrap w:val="0"/>
                  <w:vAlign w:val="center"/>
                </w:tcPr>
                <w:p w14:paraId="58FE3E59">
                  <w:pPr>
                    <w:keepNext w:val="0"/>
                    <w:keepLines w:val="0"/>
                    <w:pageBreakBefore w:val="0"/>
                    <w:widowControl w:val="0"/>
                    <w:tabs>
                      <w:tab w:val="left" w:pos="6480"/>
                    </w:tabs>
                    <w:wordWrap/>
                    <w:topLinePunct w:val="0"/>
                    <w:bidi w:val="0"/>
                    <w:jc w:val="center"/>
                    <w:rPr>
                      <w:rFonts w:hint="default" w:ascii="Times New Roman" w:hAnsi="Times New Roman" w:cs="Times New Roman"/>
                      <w:bCs/>
                      <w:color w:val="auto"/>
                      <w:sz w:val="21"/>
                      <w:szCs w:val="21"/>
                      <w:highlight w:val="none"/>
                    </w:rPr>
                  </w:pPr>
                </w:p>
              </w:tc>
              <w:tc>
                <w:tcPr>
                  <w:tcW w:w="1001" w:type="pct"/>
                  <w:gridSpan w:val="2"/>
                  <w:noWrap w:val="0"/>
                  <w:vAlign w:val="center"/>
                </w:tcPr>
                <w:p w14:paraId="030C9AAC">
                  <w:pPr>
                    <w:keepNext w:val="0"/>
                    <w:keepLines w:val="0"/>
                    <w:pageBreakBefore w:val="0"/>
                    <w:widowControl w:val="0"/>
                    <w:tabs>
                      <w:tab w:val="left" w:pos="6480"/>
                    </w:tabs>
                    <w:wordWrap/>
                    <w:topLinePunct w:val="0"/>
                    <w:bidi w:val="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eastAsia="zh-CN"/>
                    </w:rPr>
                    <w:t>生态恢复措施</w:t>
                  </w:r>
                </w:p>
              </w:tc>
              <w:tc>
                <w:tcPr>
                  <w:tcW w:w="2405" w:type="pct"/>
                  <w:noWrap w:val="0"/>
                  <w:vAlign w:val="center"/>
                </w:tcPr>
                <w:p w14:paraId="5585B5AC">
                  <w:pPr>
                    <w:keepNext w:val="0"/>
                    <w:keepLines w:val="0"/>
                    <w:pageBreakBefore w:val="0"/>
                    <w:widowControl w:val="0"/>
                    <w:tabs>
                      <w:tab w:val="left" w:pos="6480"/>
                    </w:tabs>
                    <w:wordWrap/>
                    <w:topLinePunct w:val="0"/>
                    <w:bidi w:val="0"/>
                    <w:jc w:val="left"/>
                    <w:rPr>
                      <w:rFonts w:hint="default" w:ascii="Times New Roman" w:hAnsi="Times New Roman" w:cs="Times New Roman"/>
                      <w:bCs/>
                      <w:color w:val="auto"/>
                      <w:sz w:val="21"/>
                      <w:szCs w:val="21"/>
                      <w:highlight w:val="none"/>
                      <w:lang w:eastAsia="zh-CN"/>
                    </w:rPr>
                  </w:pPr>
                  <w:r>
                    <w:rPr>
                      <w:rFonts w:hint="default" w:ascii="Times New Roman" w:hAnsi="Times New Roman" w:cs="Times New Roman"/>
                      <w:bCs/>
                      <w:color w:val="auto"/>
                      <w:sz w:val="21"/>
                      <w:szCs w:val="21"/>
                      <w:highlight w:val="none"/>
                      <w:lang w:eastAsia="zh-CN"/>
                    </w:rPr>
                    <w:t>平整、压实、自然恢复</w:t>
                  </w:r>
                </w:p>
              </w:tc>
              <w:tc>
                <w:tcPr>
                  <w:tcW w:w="866" w:type="pct"/>
                  <w:noWrap w:val="0"/>
                  <w:vAlign w:val="center"/>
                </w:tcPr>
                <w:p w14:paraId="468FCE92">
                  <w:pPr>
                    <w:keepNext w:val="0"/>
                    <w:keepLines w:val="0"/>
                    <w:pageBreakBefore w:val="0"/>
                    <w:widowControl w:val="0"/>
                    <w:tabs>
                      <w:tab w:val="left" w:pos="6480"/>
                    </w:tabs>
                    <w:wordWrap/>
                    <w:topLinePunct w:val="0"/>
                    <w:bidi w:val="0"/>
                    <w:jc w:val="center"/>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10</w:t>
                  </w:r>
                </w:p>
              </w:tc>
            </w:tr>
            <w:tr w14:paraId="35457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vMerge w:val="continue"/>
                  <w:noWrap w:val="0"/>
                  <w:vAlign w:val="center"/>
                </w:tcPr>
                <w:p w14:paraId="26FC898F">
                  <w:pPr>
                    <w:keepNext w:val="0"/>
                    <w:keepLines w:val="0"/>
                    <w:pageBreakBefore w:val="0"/>
                    <w:widowControl w:val="0"/>
                    <w:tabs>
                      <w:tab w:val="left" w:pos="6480"/>
                    </w:tabs>
                    <w:wordWrap/>
                    <w:topLinePunct w:val="0"/>
                    <w:bidi w:val="0"/>
                    <w:jc w:val="center"/>
                    <w:rPr>
                      <w:rFonts w:hint="default" w:ascii="Times New Roman" w:hAnsi="Times New Roman" w:eastAsia="宋体" w:cs="Times New Roman"/>
                      <w:bCs/>
                      <w:color w:val="auto"/>
                      <w:sz w:val="21"/>
                      <w:szCs w:val="21"/>
                      <w:highlight w:val="none"/>
                      <w:lang w:eastAsia="zh-CN"/>
                    </w:rPr>
                  </w:pPr>
                </w:p>
              </w:tc>
              <w:tc>
                <w:tcPr>
                  <w:tcW w:w="1001" w:type="pct"/>
                  <w:gridSpan w:val="2"/>
                  <w:noWrap w:val="0"/>
                  <w:vAlign w:val="center"/>
                </w:tcPr>
                <w:p w14:paraId="3602111C">
                  <w:pPr>
                    <w:keepNext w:val="0"/>
                    <w:keepLines w:val="0"/>
                    <w:pageBreakBefore w:val="0"/>
                    <w:widowControl w:val="0"/>
                    <w:tabs>
                      <w:tab w:val="left" w:pos="6480"/>
                    </w:tabs>
                    <w:wordWrap/>
                    <w:topLinePunct w:val="0"/>
                    <w:bidi w:val="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水土保持措施</w:t>
                  </w:r>
                </w:p>
              </w:tc>
              <w:tc>
                <w:tcPr>
                  <w:tcW w:w="2405" w:type="pct"/>
                  <w:noWrap w:val="0"/>
                  <w:vAlign w:val="center"/>
                </w:tcPr>
                <w:p w14:paraId="51F7EF39">
                  <w:pPr>
                    <w:keepNext w:val="0"/>
                    <w:keepLines w:val="0"/>
                    <w:pageBreakBefore w:val="0"/>
                    <w:widowControl w:val="0"/>
                    <w:tabs>
                      <w:tab w:val="left" w:pos="6480"/>
                    </w:tabs>
                    <w:wordWrap/>
                    <w:topLinePunct w:val="0"/>
                    <w:bidi w:val="0"/>
                    <w:jc w:val="left"/>
                    <w:rPr>
                      <w:rFonts w:hint="default" w:ascii="Times New Roman" w:hAnsi="Times New Roman" w:cs="Times New Roman"/>
                      <w:bCs/>
                      <w:color w:val="auto"/>
                      <w:sz w:val="21"/>
                      <w:szCs w:val="21"/>
                      <w:highlight w:val="none"/>
                      <w:lang w:eastAsia="zh-CN"/>
                    </w:rPr>
                  </w:pPr>
                  <w:r>
                    <w:rPr>
                      <w:rFonts w:hint="default" w:ascii="Times New Roman" w:hAnsi="Times New Roman" w:cs="Times New Roman"/>
                      <w:color w:val="auto"/>
                      <w:sz w:val="21"/>
                      <w:szCs w:val="21"/>
                      <w:highlight w:val="none"/>
                      <w:lang w:eastAsia="zh-CN"/>
                    </w:rPr>
                    <w:t>施工区拦挡、遮盖等临时防护措施</w:t>
                  </w:r>
                </w:p>
              </w:tc>
              <w:tc>
                <w:tcPr>
                  <w:tcW w:w="866" w:type="pct"/>
                  <w:noWrap w:val="0"/>
                  <w:vAlign w:val="center"/>
                </w:tcPr>
                <w:p w14:paraId="50A2FC1C">
                  <w:pPr>
                    <w:keepNext w:val="0"/>
                    <w:keepLines w:val="0"/>
                    <w:pageBreakBefore w:val="0"/>
                    <w:widowControl w:val="0"/>
                    <w:tabs>
                      <w:tab w:val="left" w:pos="6480"/>
                    </w:tabs>
                    <w:wordWrap/>
                    <w:topLinePunct w:val="0"/>
                    <w:bidi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2</w:t>
                  </w:r>
                </w:p>
              </w:tc>
            </w:tr>
            <w:tr w14:paraId="1650B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vMerge w:val="continue"/>
                  <w:noWrap w:val="0"/>
                  <w:vAlign w:val="center"/>
                </w:tcPr>
                <w:p w14:paraId="33441BCE">
                  <w:pPr>
                    <w:keepNext w:val="0"/>
                    <w:keepLines w:val="0"/>
                    <w:pageBreakBefore w:val="0"/>
                    <w:widowControl w:val="0"/>
                    <w:tabs>
                      <w:tab w:val="left" w:pos="6480"/>
                    </w:tabs>
                    <w:wordWrap/>
                    <w:topLinePunct w:val="0"/>
                    <w:bidi w:val="0"/>
                    <w:jc w:val="center"/>
                    <w:rPr>
                      <w:rFonts w:hint="default" w:ascii="Times New Roman" w:hAnsi="Times New Roman" w:eastAsia="宋体" w:cs="Times New Roman"/>
                      <w:bCs/>
                      <w:color w:val="auto"/>
                      <w:sz w:val="21"/>
                      <w:szCs w:val="21"/>
                      <w:highlight w:val="none"/>
                      <w:lang w:eastAsia="zh-CN"/>
                    </w:rPr>
                  </w:pPr>
                </w:p>
              </w:tc>
              <w:tc>
                <w:tcPr>
                  <w:tcW w:w="1001" w:type="pct"/>
                  <w:gridSpan w:val="2"/>
                  <w:noWrap w:val="0"/>
                  <w:vAlign w:val="center"/>
                </w:tcPr>
                <w:p w14:paraId="62C1B219">
                  <w:pPr>
                    <w:keepNext w:val="0"/>
                    <w:keepLines w:val="0"/>
                    <w:pageBreakBefore w:val="0"/>
                    <w:widowControl w:val="0"/>
                    <w:tabs>
                      <w:tab w:val="left" w:pos="6480"/>
                    </w:tabs>
                    <w:wordWrap/>
                    <w:topLinePunct w:val="0"/>
                    <w:bidi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 </w:t>
                  </w:r>
                  <w:r>
                    <w:rPr>
                      <w:rFonts w:hint="default" w:ascii="Times New Roman" w:hAnsi="Times New Roman" w:eastAsia="宋体" w:cs="Times New Roman"/>
                      <w:bCs/>
                      <w:color w:val="auto"/>
                      <w:spacing w:val="-6"/>
                      <w:sz w:val="21"/>
                      <w:szCs w:val="21"/>
                      <w:highlight w:val="none"/>
                      <w:lang w:val="en-US" w:eastAsia="zh-CN"/>
                    </w:rPr>
                    <w:t>防沙治沙措施</w:t>
                  </w:r>
                </w:p>
              </w:tc>
              <w:tc>
                <w:tcPr>
                  <w:tcW w:w="2405" w:type="pct"/>
                  <w:noWrap w:val="0"/>
                  <w:vAlign w:val="center"/>
                </w:tcPr>
                <w:p w14:paraId="0B46FFB3">
                  <w:pPr>
                    <w:keepNext w:val="0"/>
                    <w:keepLines w:val="0"/>
                    <w:pageBreakBefore w:val="0"/>
                    <w:widowControl w:val="0"/>
                    <w:tabs>
                      <w:tab w:val="left" w:pos="6480"/>
                    </w:tabs>
                    <w:wordWrap/>
                    <w:topLinePunct w:val="0"/>
                    <w:bidi w:val="0"/>
                    <w:jc w:val="left"/>
                    <w:rPr>
                      <w:rFonts w:hint="default" w:ascii="Times New Roman" w:hAnsi="Times New Roman" w:cs="Times New Roman"/>
                      <w:bCs/>
                      <w:color w:val="auto"/>
                      <w:sz w:val="21"/>
                      <w:szCs w:val="21"/>
                      <w:highlight w:val="none"/>
                      <w:lang w:eastAsia="zh-CN"/>
                    </w:rPr>
                  </w:pPr>
                  <w:r>
                    <w:rPr>
                      <w:rFonts w:hint="default" w:ascii="Times New Roman" w:hAnsi="Times New Roman" w:cs="Times New Roman"/>
                      <w:bCs/>
                      <w:color w:val="auto"/>
                      <w:sz w:val="21"/>
                      <w:szCs w:val="21"/>
                      <w:highlight w:val="none"/>
                      <w:lang w:eastAsia="zh-CN"/>
                    </w:rPr>
                    <w:t>加强管理、</w:t>
                  </w:r>
                  <w:r>
                    <w:rPr>
                      <w:rFonts w:hint="default" w:ascii="Times New Roman" w:hAnsi="Times New Roman" w:cs="Times New Roman"/>
                      <w:bCs/>
                      <w:color w:val="auto"/>
                      <w:sz w:val="21"/>
                      <w:szCs w:val="21"/>
                      <w:highlight w:val="none"/>
                      <w:lang w:val="en-US" w:eastAsia="zh-CN"/>
                    </w:rPr>
                    <w:t>临时</w:t>
                  </w:r>
                  <w:r>
                    <w:rPr>
                      <w:rFonts w:hint="default" w:ascii="Times New Roman" w:hAnsi="Times New Roman" w:cs="Times New Roman"/>
                      <w:bCs/>
                      <w:color w:val="auto"/>
                      <w:sz w:val="21"/>
                      <w:szCs w:val="21"/>
                      <w:highlight w:val="none"/>
                      <w:lang w:eastAsia="zh-CN"/>
                    </w:rPr>
                    <w:t>措施</w:t>
                  </w:r>
                </w:p>
              </w:tc>
              <w:tc>
                <w:tcPr>
                  <w:tcW w:w="866" w:type="pct"/>
                  <w:noWrap w:val="0"/>
                  <w:vAlign w:val="center"/>
                </w:tcPr>
                <w:p w14:paraId="17C0F760">
                  <w:pPr>
                    <w:keepNext w:val="0"/>
                    <w:keepLines w:val="0"/>
                    <w:pageBreakBefore w:val="0"/>
                    <w:widowControl w:val="0"/>
                    <w:tabs>
                      <w:tab w:val="left" w:pos="6480"/>
                    </w:tabs>
                    <w:wordWrap/>
                    <w:topLinePunct w:val="0"/>
                    <w:bidi w:val="0"/>
                    <w:jc w:val="center"/>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2</w:t>
                  </w:r>
                </w:p>
              </w:tc>
            </w:tr>
            <w:tr w14:paraId="44053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vMerge w:val="restart"/>
                  <w:noWrap w:val="0"/>
                  <w:vAlign w:val="center"/>
                </w:tcPr>
                <w:p w14:paraId="20B3BCD1">
                  <w:pPr>
                    <w:keepNext w:val="0"/>
                    <w:keepLines w:val="0"/>
                    <w:pageBreakBefore w:val="0"/>
                    <w:widowControl w:val="0"/>
                    <w:tabs>
                      <w:tab w:val="left" w:pos="6480"/>
                    </w:tabs>
                    <w:wordWrap/>
                    <w:topLinePunct w:val="0"/>
                    <w:bidi w:val="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运营期</w:t>
                  </w:r>
                </w:p>
              </w:tc>
              <w:tc>
                <w:tcPr>
                  <w:tcW w:w="1001" w:type="pct"/>
                  <w:gridSpan w:val="2"/>
                  <w:noWrap w:val="0"/>
                  <w:vAlign w:val="center"/>
                </w:tcPr>
                <w:p w14:paraId="649948E9">
                  <w:pPr>
                    <w:keepNext w:val="0"/>
                    <w:keepLines w:val="0"/>
                    <w:pageBreakBefore w:val="0"/>
                    <w:widowControl w:val="0"/>
                    <w:tabs>
                      <w:tab w:val="left" w:pos="6480"/>
                    </w:tabs>
                    <w:wordWrap/>
                    <w:topLinePunct w:val="0"/>
                    <w:bidi w:val="0"/>
                    <w:jc w:val="center"/>
                    <w:rPr>
                      <w:rFonts w:hint="default" w:ascii="Times New Roman" w:hAnsi="Times New Roman"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废水</w:t>
                  </w:r>
                </w:p>
              </w:tc>
              <w:tc>
                <w:tcPr>
                  <w:tcW w:w="2405" w:type="pct"/>
                  <w:noWrap w:val="0"/>
                  <w:vAlign w:val="center"/>
                </w:tcPr>
                <w:p w14:paraId="618ED6D0">
                  <w:pPr>
                    <w:keepNext w:val="0"/>
                    <w:keepLines w:val="0"/>
                    <w:pageBreakBefore w:val="0"/>
                    <w:widowControl w:val="0"/>
                    <w:tabs>
                      <w:tab w:val="left" w:pos="6480"/>
                    </w:tabs>
                    <w:wordWrap/>
                    <w:topLinePunct w:val="0"/>
                    <w:bidi w:val="0"/>
                    <w:jc w:val="left"/>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接通下水管网</w:t>
                  </w:r>
                </w:p>
              </w:tc>
              <w:tc>
                <w:tcPr>
                  <w:tcW w:w="866" w:type="pct"/>
                  <w:noWrap w:val="0"/>
                  <w:vAlign w:val="center"/>
                </w:tcPr>
                <w:p w14:paraId="701D470D">
                  <w:pPr>
                    <w:keepNext w:val="0"/>
                    <w:keepLines w:val="0"/>
                    <w:pageBreakBefore w:val="0"/>
                    <w:widowControl w:val="0"/>
                    <w:tabs>
                      <w:tab w:val="left" w:pos="6480"/>
                    </w:tabs>
                    <w:wordWrap/>
                    <w:topLinePunct w:val="0"/>
                    <w:bidi w:val="0"/>
                    <w:jc w:val="center"/>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0</w:t>
                  </w:r>
                </w:p>
              </w:tc>
            </w:tr>
            <w:tr w14:paraId="6B1FF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vMerge w:val="continue"/>
                  <w:noWrap w:val="0"/>
                  <w:vAlign w:val="center"/>
                </w:tcPr>
                <w:p w14:paraId="0B5FF11C">
                  <w:pPr>
                    <w:keepNext w:val="0"/>
                    <w:keepLines w:val="0"/>
                    <w:pageBreakBefore w:val="0"/>
                    <w:widowControl w:val="0"/>
                    <w:tabs>
                      <w:tab w:val="left" w:pos="6480"/>
                    </w:tabs>
                    <w:wordWrap/>
                    <w:topLinePunct w:val="0"/>
                    <w:bidi w:val="0"/>
                    <w:jc w:val="center"/>
                    <w:rPr>
                      <w:rFonts w:hint="default" w:ascii="Times New Roman" w:hAnsi="Times New Roman" w:cs="Times New Roman"/>
                      <w:bCs/>
                      <w:color w:val="auto"/>
                      <w:sz w:val="21"/>
                      <w:szCs w:val="21"/>
                      <w:highlight w:val="none"/>
                    </w:rPr>
                  </w:pPr>
                </w:p>
              </w:tc>
              <w:tc>
                <w:tcPr>
                  <w:tcW w:w="1001" w:type="pct"/>
                  <w:gridSpan w:val="2"/>
                  <w:noWrap w:val="0"/>
                  <w:vAlign w:val="center"/>
                </w:tcPr>
                <w:p w14:paraId="6B561C91">
                  <w:pPr>
                    <w:keepNext w:val="0"/>
                    <w:keepLines w:val="0"/>
                    <w:pageBreakBefore w:val="0"/>
                    <w:widowControl w:val="0"/>
                    <w:tabs>
                      <w:tab w:val="left" w:pos="6480"/>
                    </w:tabs>
                    <w:wordWrap/>
                    <w:topLinePunct w:val="0"/>
                    <w:bidi w:val="0"/>
                    <w:jc w:val="center"/>
                    <w:rPr>
                      <w:rFonts w:hint="default"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噪声</w:t>
                  </w:r>
                </w:p>
              </w:tc>
              <w:tc>
                <w:tcPr>
                  <w:tcW w:w="2405" w:type="pct"/>
                  <w:noWrap w:val="0"/>
                  <w:vAlign w:val="center"/>
                </w:tcPr>
                <w:p w14:paraId="53786B14">
                  <w:pPr>
                    <w:keepNext w:val="0"/>
                    <w:keepLines w:val="0"/>
                    <w:pageBreakBefore w:val="0"/>
                    <w:widowControl w:val="0"/>
                    <w:tabs>
                      <w:tab w:val="left" w:pos="6480"/>
                    </w:tabs>
                    <w:wordWrap/>
                    <w:topLinePunct w:val="0"/>
                    <w:bidi w:val="0"/>
                    <w:jc w:val="left"/>
                    <w:rPr>
                      <w:rFonts w:hint="eastAsia" w:cs="Times New Roman"/>
                      <w:bCs/>
                      <w:color w:val="auto"/>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SA"/>
                    </w:rPr>
                    <w:t>低噪声设备、基础减振等</w:t>
                  </w:r>
                </w:p>
              </w:tc>
              <w:tc>
                <w:tcPr>
                  <w:tcW w:w="866" w:type="pct"/>
                  <w:noWrap w:val="0"/>
                  <w:vAlign w:val="center"/>
                </w:tcPr>
                <w:p w14:paraId="1CBDF68D">
                  <w:pPr>
                    <w:keepNext w:val="0"/>
                    <w:keepLines w:val="0"/>
                    <w:pageBreakBefore w:val="0"/>
                    <w:widowControl w:val="0"/>
                    <w:tabs>
                      <w:tab w:val="left" w:pos="6480"/>
                    </w:tabs>
                    <w:wordWrap/>
                    <w:topLinePunct w:val="0"/>
                    <w:bidi w:val="0"/>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5</w:t>
                  </w:r>
                </w:p>
              </w:tc>
            </w:tr>
            <w:tr w14:paraId="24CAA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vMerge w:val="continue"/>
                  <w:noWrap w:val="0"/>
                  <w:vAlign w:val="center"/>
                </w:tcPr>
                <w:p w14:paraId="270CF710">
                  <w:pPr>
                    <w:keepNext w:val="0"/>
                    <w:keepLines w:val="0"/>
                    <w:pageBreakBefore w:val="0"/>
                    <w:widowControl w:val="0"/>
                    <w:tabs>
                      <w:tab w:val="left" w:pos="6480"/>
                    </w:tabs>
                    <w:wordWrap/>
                    <w:topLinePunct w:val="0"/>
                    <w:bidi w:val="0"/>
                    <w:jc w:val="center"/>
                    <w:rPr>
                      <w:rFonts w:hint="default" w:ascii="Times New Roman" w:hAnsi="Times New Roman" w:cs="Times New Roman"/>
                      <w:bCs/>
                      <w:color w:val="auto"/>
                      <w:sz w:val="21"/>
                      <w:szCs w:val="21"/>
                      <w:highlight w:val="none"/>
                    </w:rPr>
                  </w:pPr>
                </w:p>
              </w:tc>
              <w:tc>
                <w:tcPr>
                  <w:tcW w:w="1001" w:type="pct"/>
                  <w:gridSpan w:val="2"/>
                  <w:noWrap w:val="0"/>
                  <w:vAlign w:val="center"/>
                </w:tcPr>
                <w:p w14:paraId="7F57FE12">
                  <w:pPr>
                    <w:keepNext w:val="0"/>
                    <w:keepLines w:val="0"/>
                    <w:pageBreakBefore w:val="0"/>
                    <w:widowControl w:val="0"/>
                    <w:tabs>
                      <w:tab w:val="left" w:pos="6480"/>
                    </w:tabs>
                    <w:wordWrap/>
                    <w:topLinePunct w:val="0"/>
                    <w:bidi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固体废物</w:t>
                  </w:r>
                </w:p>
              </w:tc>
              <w:tc>
                <w:tcPr>
                  <w:tcW w:w="2405" w:type="pct"/>
                  <w:noWrap w:val="0"/>
                  <w:vAlign w:val="center"/>
                </w:tcPr>
                <w:p w14:paraId="26989576">
                  <w:pPr>
                    <w:keepNext w:val="0"/>
                    <w:keepLines w:val="0"/>
                    <w:pageBreakBefore w:val="0"/>
                    <w:widowControl w:val="0"/>
                    <w:tabs>
                      <w:tab w:val="left" w:pos="6480"/>
                    </w:tabs>
                    <w:wordWrap/>
                    <w:topLinePunct w:val="0"/>
                    <w:bidi w:val="0"/>
                    <w:jc w:val="left"/>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SA"/>
                    </w:rPr>
                    <w:t>危废贮存库、危险废物处置费用</w:t>
                  </w:r>
                </w:p>
              </w:tc>
              <w:tc>
                <w:tcPr>
                  <w:tcW w:w="866" w:type="pct"/>
                  <w:noWrap w:val="0"/>
                  <w:vAlign w:val="center"/>
                </w:tcPr>
                <w:p w14:paraId="3A9B495B">
                  <w:pPr>
                    <w:keepNext w:val="0"/>
                    <w:keepLines w:val="0"/>
                    <w:pageBreakBefore w:val="0"/>
                    <w:widowControl w:val="0"/>
                    <w:tabs>
                      <w:tab w:val="left" w:pos="6480"/>
                    </w:tabs>
                    <w:wordWrap/>
                    <w:topLinePunct w:val="0"/>
                    <w:bidi w:val="0"/>
                    <w:jc w:val="center"/>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10</w:t>
                  </w:r>
                </w:p>
              </w:tc>
            </w:tr>
            <w:tr w14:paraId="40796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26" w:type="pct"/>
                  <w:vMerge w:val="continue"/>
                  <w:noWrap w:val="0"/>
                  <w:vAlign w:val="center"/>
                </w:tcPr>
                <w:p w14:paraId="4B68BECE">
                  <w:pPr>
                    <w:keepNext w:val="0"/>
                    <w:keepLines w:val="0"/>
                    <w:pageBreakBefore w:val="0"/>
                    <w:widowControl w:val="0"/>
                    <w:tabs>
                      <w:tab w:val="left" w:pos="6480"/>
                    </w:tabs>
                    <w:wordWrap/>
                    <w:topLinePunct w:val="0"/>
                    <w:bidi w:val="0"/>
                    <w:jc w:val="center"/>
                    <w:rPr>
                      <w:rFonts w:hint="default" w:ascii="Times New Roman" w:hAnsi="Times New Roman" w:cs="Times New Roman"/>
                      <w:bCs/>
                      <w:color w:val="auto"/>
                      <w:sz w:val="21"/>
                      <w:szCs w:val="21"/>
                      <w:highlight w:val="none"/>
                    </w:rPr>
                  </w:pPr>
                </w:p>
              </w:tc>
              <w:tc>
                <w:tcPr>
                  <w:tcW w:w="1001" w:type="pct"/>
                  <w:gridSpan w:val="2"/>
                  <w:noWrap w:val="0"/>
                  <w:vAlign w:val="center"/>
                </w:tcPr>
                <w:p w14:paraId="2FE225FD">
                  <w:pPr>
                    <w:keepNext w:val="0"/>
                    <w:keepLines w:val="0"/>
                    <w:pageBreakBefore w:val="0"/>
                    <w:widowControl w:val="0"/>
                    <w:tabs>
                      <w:tab w:val="left" w:pos="6480"/>
                    </w:tabs>
                    <w:wordWrap/>
                    <w:topLinePunct w:val="0"/>
                    <w:bidi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风险防范</w:t>
                  </w:r>
                </w:p>
              </w:tc>
              <w:tc>
                <w:tcPr>
                  <w:tcW w:w="2405" w:type="pct"/>
                  <w:noWrap w:val="0"/>
                  <w:vAlign w:val="center"/>
                </w:tcPr>
                <w:p w14:paraId="45127D79">
                  <w:pPr>
                    <w:keepNext w:val="0"/>
                    <w:keepLines w:val="0"/>
                    <w:pageBreakBefore w:val="0"/>
                    <w:widowControl w:val="0"/>
                    <w:tabs>
                      <w:tab w:val="left" w:pos="6480"/>
                    </w:tabs>
                    <w:wordWrap/>
                    <w:topLinePunct w:val="0"/>
                    <w:bidi w:val="0"/>
                    <w:jc w:val="left"/>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事故油池、</w:t>
                  </w:r>
                  <w:r>
                    <w:rPr>
                      <w:rFonts w:hint="default" w:ascii="Times New Roman" w:hAnsi="Times New Roman" w:eastAsia="宋体" w:cs="Times New Roman"/>
                      <w:bCs/>
                      <w:color w:val="auto"/>
                      <w:sz w:val="21"/>
                      <w:szCs w:val="21"/>
                      <w:highlight w:val="none"/>
                      <w:lang w:val="en-US" w:eastAsia="zh-CN"/>
                    </w:rPr>
                    <w:t>火灾自动报警系统、视频监控系统</w:t>
                  </w:r>
                  <w:r>
                    <w:rPr>
                      <w:rFonts w:hint="eastAsia" w:ascii="Times New Roman" w:hAnsi="Times New Roman" w:eastAsia="宋体" w:cs="Times New Roman"/>
                      <w:bCs/>
                      <w:color w:val="auto"/>
                      <w:sz w:val="21"/>
                      <w:szCs w:val="21"/>
                      <w:highlight w:val="none"/>
                      <w:lang w:val="en-US" w:eastAsia="zh-CN"/>
                    </w:rPr>
                    <w:t>等</w:t>
                  </w:r>
                </w:p>
              </w:tc>
              <w:tc>
                <w:tcPr>
                  <w:tcW w:w="866" w:type="pct"/>
                  <w:noWrap w:val="0"/>
                  <w:vAlign w:val="center"/>
                </w:tcPr>
                <w:p w14:paraId="344F93DF">
                  <w:pPr>
                    <w:keepNext w:val="0"/>
                    <w:keepLines w:val="0"/>
                    <w:pageBreakBefore w:val="0"/>
                    <w:widowControl w:val="0"/>
                    <w:tabs>
                      <w:tab w:val="left" w:pos="6480"/>
                    </w:tabs>
                    <w:wordWrap/>
                    <w:topLinePunct w:val="0"/>
                    <w:bidi w:val="0"/>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10</w:t>
                  </w:r>
                </w:p>
              </w:tc>
            </w:tr>
            <w:tr w14:paraId="53FDA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726" w:type="pct"/>
                  <w:vMerge w:val="continue"/>
                  <w:noWrap w:val="0"/>
                  <w:vAlign w:val="center"/>
                </w:tcPr>
                <w:p w14:paraId="6F8B95EE">
                  <w:pPr>
                    <w:keepNext w:val="0"/>
                    <w:keepLines w:val="0"/>
                    <w:pageBreakBefore w:val="0"/>
                    <w:widowControl w:val="0"/>
                    <w:tabs>
                      <w:tab w:val="left" w:pos="6480"/>
                    </w:tabs>
                    <w:wordWrap/>
                    <w:topLinePunct w:val="0"/>
                    <w:bidi w:val="0"/>
                    <w:jc w:val="center"/>
                    <w:rPr>
                      <w:rFonts w:hint="default" w:ascii="Times New Roman" w:hAnsi="Times New Roman" w:cs="Times New Roman"/>
                      <w:bCs/>
                      <w:color w:val="auto"/>
                      <w:sz w:val="21"/>
                      <w:szCs w:val="21"/>
                      <w:highlight w:val="none"/>
                    </w:rPr>
                  </w:pPr>
                </w:p>
              </w:tc>
              <w:tc>
                <w:tcPr>
                  <w:tcW w:w="1001" w:type="pct"/>
                  <w:gridSpan w:val="2"/>
                  <w:noWrap w:val="0"/>
                  <w:vAlign w:val="center"/>
                </w:tcPr>
                <w:p w14:paraId="21924353">
                  <w:pPr>
                    <w:keepNext w:val="0"/>
                    <w:keepLines w:val="0"/>
                    <w:pageBreakBefore w:val="0"/>
                    <w:widowControl w:val="0"/>
                    <w:tabs>
                      <w:tab w:val="left" w:pos="6480"/>
                    </w:tabs>
                    <w:wordWrap/>
                    <w:topLinePunct w:val="0"/>
                    <w:bidi w:val="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环境管理与监测费用</w:t>
                  </w:r>
                </w:p>
              </w:tc>
              <w:tc>
                <w:tcPr>
                  <w:tcW w:w="2405" w:type="pct"/>
                  <w:noWrap w:val="0"/>
                  <w:vAlign w:val="center"/>
                </w:tcPr>
                <w:p w14:paraId="6A06E06D">
                  <w:pPr>
                    <w:keepNext w:val="0"/>
                    <w:keepLines w:val="0"/>
                    <w:pageBreakBefore w:val="0"/>
                    <w:widowControl w:val="0"/>
                    <w:tabs>
                      <w:tab w:val="left" w:pos="6480"/>
                    </w:tabs>
                    <w:wordWrap/>
                    <w:topLinePunct w:val="0"/>
                    <w:bidi w:val="0"/>
                    <w:jc w:val="left"/>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环境管理费用；</w:t>
                  </w:r>
                </w:p>
                <w:p w14:paraId="7182C434">
                  <w:pPr>
                    <w:keepNext w:val="0"/>
                    <w:keepLines w:val="0"/>
                    <w:pageBreakBefore w:val="0"/>
                    <w:widowControl w:val="0"/>
                    <w:tabs>
                      <w:tab w:val="left" w:pos="6480"/>
                    </w:tabs>
                    <w:wordWrap/>
                    <w:topLinePunct w:val="0"/>
                    <w:bidi w:val="0"/>
                    <w:jc w:val="left"/>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自行监测</w:t>
                  </w:r>
                  <w:r>
                    <w:rPr>
                      <w:rFonts w:hint="eastAsia" w:eastAsia="宋体" w:cs="Times New Roman"/>
                      <w:color w:val="auto"/>
                      <w:highlight w:val="none"/>
                      <w:lang w:val="en-US" w:eastAsia="zh-CN"/>
                    </w:rPr>
                    <w:t>费用</w:t>
                  </w:r>
                  <w:r>
                    <w:rPr>
                      <w:rFonts w:hint="default" w:ascii="Times New Roman" w:hAnsi="Times New Roman" w:eastAsia="宋体" w:cs="Times New Roman"/>
                      <w:color w:val="auto"/>
                      <w:highlight w:val="none"/>
                      <w:lang w:eastAsia="zh-CN"/>
                    </w:rPr>
                    <w:t>；</w:t>
                  </w:r>
                </w:p>
                <w:p w14:paraId="0C1DAF8C">
                  <w:pPr>
                    <w:keepNext w:val="0"/>
                    <w:keepLines w:val="0"/>
                    <w:pageBreakBefore w:val="0"/>
                    <w:widowControl w:val="0"/>
                    <w:tabs>
                      <w:tab w:val="left" w:pos="6480"/>
                    </w:tabs>
                    <w:wordWrap/>
                    <w:topLinePunct w:val="0"/>
                    <w:bidi w:val="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环境影响评价及竣工环境保护验收；</w:t>
                  </w:r>
                </w:p>
                <w:p w14:paraId="635782D8">
                  <w:pPr>
                    <w:keepNext w:val="0"/>
                    <w:keepLines w:val="0"/>
                    <w:pageBreakBefore w:val="0"/>
                    <w:widowControl w:val="0"/>
                    <w:tabs>
                      <w:tab w:val="left" w:pos="6480"/>
                    </w:tabs>
                    <w:wordWrap/>
                    <w:topLinePunct w:val="0"/>
                    <w:bidi w:val="0"/>
                    <w:jc w:val="left"/>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highlight w:val="none"/>
                      <w:lang w:val="en-US" w:eastAsia="zh-CN"/>
                    </w:rPr>
                    <w:t>警示牌的设置等</w:t>
                  </w:r>
                </w:p>
              </w:tc>
              <w:tc>
                <w:tcPr>
                  <w:tcW w:w="866" w:type="pct"/>
                  <w:noWrap w:val="0"/>
                  <w:vAlign w:val="center"/>
                </w:tcPr>
                <w:p w14:paraId="4579DBE5">
                  <w:pPr>
                    <w:keepNext w:val="0"/>
                    <w:keepLines w:val="0"/>
                    <w:pageBreakBefore w:val="0"/>
                    <w:widowControl w:val="0"/>
                    <w:tabs>
                      <w:tab w:val="left" w:pos="6480"/>
                    </w:tabs>
                    <w:wordWrap/>
                    <w:topLinePunct w:val="0"/>
                    <w:bidi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20</w:t>
                  </w:r>
                </w:p>
              </w:tc>
            </w:tr>
            <w:tr w14:paraId="70ACE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noWrap w:val="0"/>
                  <w:vAlign w:val="center"/>
                </w:tcPr>
                <w:p w14:paraId="5F4C2990">
                  <w:pPr>
                    <w:keepNext w:val="0"/>
                    <w:keepLines w:val="0"/>
                    <w:pageBreakBefore w:val="0"/>
                    <w:widowControl w:val="0"/>
                    <w:tabs>
                      <w:tab w:val="left" w:pos="6480"/>
                    </w:tabs>
                    <w:wordWrap/>
                    <w:topLinePunct w:val="0"/>
                    <w:bidi w:val="0"/>
                    <w:jc w:val="center"/>
                    <w:rPr>
                      <w:rFonts w:hint="default" w:ascii="Times New Roman" w:hAnsi="Times New Roman" w:cs="Times New Roman"/>
                      <w:bCs/>
                      <w:color w:val="auto"/>
                      <w:sz w:val="21"/>
                      <w:szCs w:val="21"/>
                      <w:highlight w:val="none"/>
                    </w:rPr>
                  </w:pPr>
                </w:p>
              </w:tc>
              <w:tc>
                <w:tcPr>
                  <w:tcW w:w="1001" w:type="pct"/>
                  <w:gridSpan w:val="2"/>
                  <w:noWrap w:val="0"/>
                  <w:vAlign w:val="center"/>
                </w:tcPr>
                <w:p w14:paraId="591F1E25">
                  <w:pPr>
                    <w:keepNext w:val="0"/>
                    <w:keepLines w:val="0"/>
                    <w:pageBreakBefore w:val="0"/>
                    <w:widowControl w:val="0"/>
                    <w:tabs>
                      <w:tab w:val="left" w:pos="6480"/>
                    </w:tabs>
                    <w:wordWrap/>
                    <w:topLinePunct w:val="0"/>
                    <w:bidi w:val="0"/>
                    <w:jc w:val="center"/>
                    <w:rPr>
                      <w:rFonts w:hint="default" w:ascii="Times New Roman" w:hAnsi="Times New Roman" w:cs="Times New Roman"/>
                      <w:bCs/>
                      <w:color w:val="auto"/>
                      <w:sz w:val="21"/>
                      <w:szCs w:val="21"/>
                      <w:highlight w:val="none"/>
                    </w:rPr>
                  </w:pPr>
                </w:p>
              </w:tc>
              <w:tc>
                <w:tcPr>
                  <w:tcW w:w="2405" w:type="pct"/>
                  <w:noWrap w:val="0"/>
                  <w:vAlign w:val="center"/>
                </w:tcPr>
                <w:p w14:paraId="0BF75D3B">
                  <w:pPr>
                    <w:keepNext w:val="0"/>
                    <w:keepLines w:val="0"/>
                    <w:pageBreakBefore w:val="0"/>
                    <w:widowControl w:val="0"/>
                    <w:tabs>
                      <w:tab w:val="left" w:pos="6480"/>
                    </w:tabs>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eastAsia="zh-CN"/>
                    </w:rPr>
                    <w:t>合计</w:t>
                  </w:r>
                </w:p>
              </w:tc>
              <w:tc>
                <w:tcPr>
                  <w:tcW w:w="866" w:type="pct"/>
                  <w:noWrap w:val="0"/>
                  <w:vAlign w:val="center"/>
                </w:tcPr>
                <w:p w14:paraId="45BD50D1">
                  <w:pPr>
                    <w:keepNext w:val="0"/>
                    <w:keepLines w:val="0"/>
                    <w:pageBreakBefore w:val="0"/>
                    <w:widowControl w:val="0"/>
                    <w:tabs>
                      <w:tab w:val="left" w:pos="6480"/>
                    </w:tabs>
                    <w:wordWrap/>
                    <w:topLinePunct w:val="0"/>
                    <w:bidi w:val="0"/>
                    <w:jc w:val="center"/>
                    <w:rPr>
                      <w:rFonts w:hint="default" w:ascii="Times New Roman" w:hAnsi="Times New Roman"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99</w:t>
                  </w:r>
                </w:p>
              </w:tc>
            </w:tr>
          </w:tbl>
          <w:p w14:paraId="61FE707F">
            <w:pPr>
              <w:keepNext w:val="0"/>
              <w:keepLines w:val="0"/>
              <w:pageBreakBefore w:val="0"/>
              <w:widowControl w:val="0"/>
              <w:tabs>
                <w:tab w:val="left" w:pos="6480"/>
              </w:tabs>
              <w:wordWrap/>
              <w:topLinePunct w:val="0"/>
              <w:bidi w:val="0"/>
              <w:jc w:val="center"/>
              <w:rPr>
                <w:rFonts w:hint="default" w:ascii="Times New Roman" w:hAnsi="Times New Roman" w:cs="Times New Roman"/>
                <w:b/>
                <w:color w:val="auto"/>
                <w:sz w:val="21"/>
                <w:szCs w:val="21"/>
                <w:highlight w:val="none"/>
              </w:rPr>
            </w:pPr>
          </w:p>
          <w:p w14:paraId="01EAAFA0">
            <w:pPr>
              <w:keepNext w:val="0"/>
              <w:keepLines w:val="0"/>
              <w:pageBreakBefore w:val="0"/>
              <w:widowControl w:val="0"/>
              <w:tabs>
                <w:tab w:val="left" w:pos="6480"/>
              </w:tabs>
              <w:wordWrap/>
              <w:topLinePunct w:val="0"/>
              <w:bidi w:val="0"/>
              <w:jc w:val="center"/>
              <w:rPr>
                <w:rFonts w:hint="default" w:ascii="Times New Roman" w:hAnsi="Times New Roman" w:cs="Times New Roman"/>
                <w:b/>
                <w:color w:val="auto"/>
                <w:sz w:val="21"/>
                <w:szCs w:val="21"/>
                <w:highlight w:val="none"/>
              </w:rPr>
            </w:pPr>
          </w:p>
          <w:p w14:paraId="12AE6A59">
            <w:pPr>
              <w:keepNext w:val="0"/>
              <w:keepLines w:val="0"/>
              <w:pageBreakBefore w:val="0"/>
              <w:widowControl w:val="0"/>
              <w:wordWrap/>
              <w:topLinePunct w:val="0"/>
              <w:bidi w:val="0"/>
              <w:adjustRightInd w:val="0"/>
              <w:snapToGrid w:val="0"/>
              <w:rPr>
                <w:rFonts w:hint="default" w:ascii="Times New Roman" w:hAnsi="Times New Roman" w:cs="Times New Roman"/>
                <w:bCs/>
                <w:color w:val="auto"/>
                <w:spacing w:val="10"/>
                <w:szCs w:val="21"/>
                <w:highlight w:val="none"/>
              </w:rPr>
            </w:pPr>
          </w:p>
          <w:p w14:paraId="43EA805A">
            <w:pPr>
              <w:pStyle w:val="23"/>
              <w:rPr>
                <w:rFonts w:hint="default" w:ascii="Times New Roman" w:hAnsi="Times New Roman" w:cs="Times New Roman"/>
                <w:bCs/>
                <w:color w:val="auto"/>
                <w:spacing w:val="10"/>
                <w:szCs w:val="21"/>
                <w:highlight w:val="none"/>
              </w:rPr>
            </w:pPr>
          </w:p>
          <w:p w14:paraId="02824FF2">
            <w:pPr>
              <w:pStyle w:val="23"/>
              <w:rPr>
                <w:rFonts w:hint="default" w:ascii="Times New Roman" w:hAnsi="Times New Roman" w:cs="Times New Roman"/>
                <w:bCs/>
                <w:color w:val="auto"/>
                <w:spacing w:val="10"/>
                <w:szCs w:val="21"/>
                <w:highlight w:val="none"/>
              </w:rPr>
            </w:pPr>
          </w:p>
          <w:p w14:paraId="79694C8B">
            <w:pPr>
              <w:pStyle w:val="23"/>
              <w:rPr>
                <w:rFonts w:hint="default" w:ascii="Times New Roman" w:hAnsi="Times New Roman" w:cs="Times New Roman"/>
                <w:bCs/>
                <w:color w:val="auto"/>
                <w:spacing w:val="10"/>
                <w:szCs w:val="21"/>
                <w:highlight w:val="none"/>
              </w:rPr>
            </w:pPr>
          </w:p>
          <w:p w14:paraId="15445461">
            <w:pPr>
              <w:pStyle w:val="23"/>
              <w:rPr>
                <w:rFonts w:hint="default" w:ascii="Times New Roman" w:hAnsi="Times New Roman" w:cs="Times New Roman"/>
                <w:bCs/>
                <w:color w:val="auto"/>
                <w:spacing w:val="10"/>
                <w:szCs w:val="21"/>
                <w:highlight w:val="none"/>
              </w:rPr>
            </w:pPr>
          </w:p>
          <w:p w14:paraId="2AB238EC">
            <w:pPr>
              <w:pStyle w:val="23"/>
              <w:rPr>
                <w:rFonts w:hint="default" w:ascii="Times New Roman" w:hAnsi="Times New Roman" w:cs="Times New Roman"/>
                <w:bCs/>
                <w:color w:val="auto"/>
                <w:spacing w:val="10"/>
                <w:szCs w:val="21"/>
                <w:highlight w:val="none"/>
              </w:rPr>
            </w:pPr>
          </w:p>
          <w:p w14:paraId="0C8D4D15">
            <w:pPr>
              <w:pStyle w:val="23"/>
              <w:rPr>
                <w:rFonts w:hint="default" w:ascii="Times New Roman" w:hAnsi="Times New Roman" w:cs="Times New Roman"/>
                <w:bCs/>
                <w:color w:val="auto"/>
                <w:spacing w:val="10"/>
                <w:szCs w:val="21"/>
                <w:highlight w:val="none"/>
              </w:rPr>
            </w:pPr>
          </w:p>
          <w:p w14:paraId="674E9952">
            <w:pPr>
              <w:pStyle w:val="23"/>
              <w:rPr>
                <w:rFonts w:hint="default" w:ascii="Times New Roman" w:hAnsi="Times New Roman" w:cs="Times New Roman"/>
                <w:bCs/>
                <w:color w:val="auto"/>
                <w:spacing w:val="10"/>
                <w:szCs w:val="21"/>
                <w:highlight w:val="none"/>
              </w:rPr>
            </w:pPr>
          </w:p>
          <w:p w14:paraId="792DB588">
            <w:pPr>
              <w:pStyle w:val="23"/>
              <w:rPr>
                <w:rFonts w:hint="default" w:ascii="Times New Roman" w:hAnsi="Times New Roman" w:cs="Times New Roman"/>
                <w:bCs/>
                <w:color w:val="auto"/>
                <w:spacing w:val="10"/>
                <w:szCs w:val="21"/>
                <w:highlight w:val="none"/>
              </w:rPr>
            </w:pPr>
          </w:p>
          <w:p w14:paraId="4DE44C75">
            <w:pPr>
              <w:pStyle w:val="23"/>
              <w:rPr>
                <w:rFonts w:hint="default" w:ascii="Times New Roman" w:hAnsi="Times New Roman" w:cs="Times New Roman"/>
                <w:bCs/>
                <w:color w:val="auto"/>
                <w:spacing w:val="10"/>
                <w:szCs w:val="21"/>
                <w:highlight w:val="none"/>
              </w:rPr>
            </w:pPr>
          </w:p>
          <w:p w14:paraId="050E5569">
            <w:pPr>
              <w:pStyle w:val="23"/>
              <w:rPr>
                <w:rFonts w:hint="default" w:ascii="Times New Roman" w:hAnsi="Times New Roman" w:cs="Times New Roman"/>
                <w:bCs/>
                <w:color w:val="auto"/>
                <w:spacing w:val="10"/>
                <w:szCs w:val="21"/>
                <w:highlight w:val="none"/>
              </w:rPr>
            </w:pPr>
          </w:p>
          <w:p w14:paraId="62159806">
            <w:pPr>
              <w:pStyle w:val="23"/>
              <w:rPr>
                <w:rFonts w:hint="default" w:ascii="Times New Roman" w:hAnsi="Times New Roman" w:cs="Times New Roman"/>
                <w:bCs/>
                <w:color w:val="auto"/>
                <w:spacing w:val="10"/>
                <w:szCs w:val="21"/>
                <w:highlight w:val="none"/>
              </w:rPr>
            </w:pPr>
          </w:p>
          <w:p w14:paraId="2A24ED4E">
            <w:pPr>
              <w:pStyle w:val="23"/>
              <w:rPr>
                <w:rFonts w:hint="default" w:ascii="Times New Roman" w:hAnsi="Times New Roman" w:cs="Times New Roman"/>
                <w:bCs/>
                <w:color w:val="auto"/>
                <w:spacing w:val="10"/>
                <w:szCs w:val="21"/>
                <w:highlight w:val="none"/>
              </w:rPr>
            </w:pPr>
          </w:p>
          <w:p w14:paraId="52B0BA5D">
            <w:pPr>
              <w:pStyle w:val="23"/>
              <w:rPr>
                <w:rFonts w:hint="default" w:ascii="Times New Roman" w:hAnsi="Times New Roman" w:cs="Times New Roman"/>
                <w:bCs/>
                <w:color w:val="auto"/>
                <w:spacing w:val="10"/>
                <w:szCs w:val="21"/>
                <w:highlight w:val="none"/>
              </w:rPr>
            </w:pPr>
          </w:p>
          <w:p w14:paraId="5DB873C0">
            <w:pPr>
              <w:pStyle w:val="23"/>
              <w:jc w:val="both"/>
              <w:rPr>
                <w:rFonts w:hint="default" w:ascii="Times New Roman" w:hAnsi="Times New Roman" w:cs="Times New Roman"/>
                <w:bCs/>
                <w:color w:val="auto"/>
                <w:spacing w:val="10"/>
                <w:szCs w:val="21"/>
                <w:highlight w:val="none"/>
              </w:rPr>
            </w:pPr>
          </w:p>
        </w:tc>
      </w:tr>
    </w:tbl>
    <w:p w14:paraId="532A4D7C">
      <w:pPr>
        <w:keepNext w:val="0"/>
        <w:keepLines w:val="0"/>
        <w:pageBreakBefore w:val="0"/>
        <w:widowControl w:val="0"/>
        <w:wordWrap/>
        <w:topLinePunct w:val="0"/>
        <w:bidi w:val="0"/>
        <w:rPr>
          <w:rFonts w:hint="default" w:ascii="Times New Roman" w:hAnsi="Times New Roman" w:cs="Times New Roman"/>
          <w:color w:val="auto"/>
          <w:highlight w:val="none"/>
        </w:rPr>
        <w:sectPr>
          <w:pgSz w:w="11907" w:h="16840"/>
          <w:pgMar w:top="1440" w:right="1797" w:bottom="1440" w:left="1797" w:header="851" w:footer="1077" w:gutter="0"/>
          <w:pgBorders>
            <w:top w:val="none" w:sz="0" w:space="0"/>
            <w:left w:val="none" w:sz="0" w:space="0"/>
            <w:bottom w:val="none" w:sz="0" w:space="0"/>
            <w:right w:val="none" w:sz="0" w:space="0"/>
          </w:pgBorders>
          <w:pgNumType w:fmt="decimal"/>
          <w:cols w:space="720" w:num="1"/>
          <w:docGrid w:linePitch="312" w:charSpace="0"/>
        </w:sectPr>
      </w:pPr>
    </w:p>
    <w:p w14:paraId="50DBB26A">
      <w:pPr>
        <w:pStyle w:val="16"/>
        <w:keepNext w:val="0"/>
        <w:keepLines w:val="0"/>
        <w:pageBreakBefore w:val="0"/>
        <w:widowControl w:val="0"/>
        <w:wordWrap/>
        <w:topLinePunct w:val="0"/>
        <w:bidi w:val="0"/>
        <w:spacing w:line="240" w:lineRule="auto"/>
        <w:jc w:val="center"/>
        <w:outlineLvl w:val="0"/>
        <w:rPr>
          <w:rFonts w:hint="default" w:ascii="Times New Roman" w:hAnsi="Times New Roman" w:eastAsia="黑体" w:cs="Times New Roman"/>
          <w:snapToGrid w:val="0"/>
          <w:color w:val="auto"/>
          <w:sz w:val="30"/>
          <w:szCs w:val="30"/>
          <w:highlight w:val="none"/>
        </w:rPr>
      </w:pPr>
      <w:bookmarkStart w:id="96" w:name="_Toc22359"/>
      <w:r>
        <w:rPr>
          <w:rFonts w:hint="default" w:ascii="Times New Roman" w:hAnsi="Times New Roman" w:eastAsia="黑体" w:cs="Times New Roman"/>
          <w:snapToGrid w:val="0"/>
          <w:color w:val="auto"/>
          <w:sz w:val="30"/>
          <w:szCs w:val="30"/>
          <w:highlight w:val="none"/>
        </w:rPr>
        <w:t>六、生态环境保护措施监督检查清单</w:t>
      </w:r>
      <w:bookmarkEnd w:id="96"/>
    </w:p>
    <w:tbl>
      <w:tblPr>
        <w:tblStyle w:val="18"/>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2397"/>
        <w:gridCol w:w="1223"/>
        <w:gridCol w:w="2293"/>
        <w:gridCol w:w="1329"/>
      </w:tblGrid>
      <w:tr w14:paraId="132383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0" w:type="pct"/>
            <w:vMerge w:val="restart"/>
            <w:tcBorders>
              <w:tl2br w:val="single" w:color="auto" w:sz="4" w:space="0"/>
            </w:tcBorders>
            <w:noWrap w:val="0"/>
            <w:vAlign w:val="top"/>
          </w:tcPr>
          <w:p w14:paraId="239B6F61">
            <w:pPr>
              <w:keepNext w:val="0"/>
              <w:keepLines w:val="0"/>
              <w:pageBreakBefore w:val="0"/>
              <w:widowControl w:val="0"/>
              <w:wordWrap/>
              <w:topLinePunct w:val="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w:t>
            </w:r>
            <w:bookmarkStart w:id="97" w:name="_Toc21155"/>
            <w:bookmarkStart w:id="98" w:name="_Toc17861"/>
            <w:bookmarkStart w:id="99" w:name="_Toc14759"/>
            <w:r>
              <w:rPr>
                <w:rFonts w:hint="default" w:ascii="Times New Roman" w:hAnsi="Times New Roman" w:cs="Times New Roman"/>
                <w:color w:val="auto"/>
                <w:highlight w:val="none"/>
              </w:rPr>
              <w:t>内容</w:t>
            </w:r>
            <w:bookmarkEnd w:id="97"/>
            <w:bookmarkEnd w:id="98"/>
            <w:bookmarkEnd w:id="99"/>
            <w:r>
              <w:rPr>
                <w:rFonts w:hint="default" w:ascii="Times New Roman" w:hAnsi="Times New Roman" w:cs="Times New Roman"/>
                <w:color w:val="auto"/>
                <w:highlight w:val="none"/>
              </w:rPr>
              <w:t xml:space="preserve">   </w:t>
            </w:r>
          </w:p>
          <w:p w14:paraId="7F983FEF">
            <w:pPr>
              <w:keepNext w:val="0"/>
              <w:keepLines w:val="0"/>
              <w:pageBreakBefore w:val="0"/>
              <w:widowControl w:val="0"/>
              <w:wordWrap/>
              <w:topLinePunct w:val="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w:t>
            </w:r>
          </w:p>
          <w:p w14:paraId="3BEB15AC">
            <w:pPr>
              <w:keepNext w:val="0"/>
              <w:keepLines w:val="0"/>
              <w:pageBreakBefore w:val="0"/>
              <w:widowControl w:val="0"/>
              <w:wordWrap/>
              <w:topLinePunct w:val="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w:t>
            </w:r>
          </w:p>
          <w:p w14:paraId="42448C40">
            <w:pPr>
              <w:keepNext w:val="0"/>
              <w:keepLines w:val="0"/>
              <w:pageBreakBefore w:val="0"/>
              <w:widowControl w:val="0"/>
              <w:wordWrap/>
              <w:topLinePunct w:val="0"/>
              <w:bidi w:val="0"/>
              <w:rPr>
                <w:rFonts w:hint="default" w:ascii="Times New Roman" w:hAnsi="Times New Roman" w:cs="Times New Roman"/>
                <w:color w:val="auto"/>
                <w:highlight w:val="none"/>
              </w:rPr>
            </w:pPr>
            <w:bookmarkStart w:id="100" w:name="_Toc29138"/>
            <w:bookmarkStart w:id="101" w:name="_Toc20947"/>
            <w:bookmarkStart w:id="102" w:name="_Toc29625"/>
            <w:r>
              <w:rPr>
                <w:rFonts w:hint="default" w:ascii="Times New Roman" w:hAnsi="Times New Roman" w:cs="Times New Roman"/>
                <w:color w:val="auto"/>
                <w:highlight w:val="none"/>
              </w:rPr>
              <w:t>要素</w:t>
            </w:r>
            <w:bookmarkEnd w:id="100"/>
            <w:bookmarkEnd w:id="101"/>
            <w:bookmarkEnd w:id="102"/>
          </w:p>
        </w:tc>
        <w:tc>
          <w:tcPr>
            <w:tcW w:w="2123" w:type="pct"/>
            <w:gridSpan w:val="2"/>
            <w:noWrap w:val="0"/>
            <w:vAlign w:val="center"/>
          </w:tcPr>
          <w:p w14:paraId="0B6975EF">
            <w:pPr>
              <w:keepNext w:val="0"/>
              <w:keepLines w:val="0"/>
              <w:pageBreakBefore w:val="0"/>
              <w:widowControl w:val="0"/>
              <w:wordWrap/>
              <w:topLinePunct w:val="0"/>
              <w:bidi w:val="0"/>
              <w:rPr>
                <w:rFonts w:hint="default" w:ascii="Times New Roman" w:hAnsi="Times New Roman" w:cs="Times New Roman"/>
                <w:color w:val="auto"/>
                <w:highlight w:val="none"/>
              </w:rPr>
            </w:pPr>
            <w:bookmarkStart w:id="103" w:name="_Toc17046"/>
            <w:bookmarkStart w:id="104" w:name="_Toc6898"/>
            <w:bookmarkStart w:id="105" w:name="_Toc12650"/>
            <w:r>
              <w:rPr>
                <w:rFonts w:hint="default" w:ascii="Times New Roman" w:hAnsi="Times New Roman" w:cs="Times New Roman"/>
                <w:color w:val="auto"/>
                <w:highlight w:val="none"/>
              </w:rPr>
              <w:t>施工期</w:t>
            </w:r>
            <w:bookmarkEnd w:id="103"/>
            <w:bookmarkEnd w:id="104"/>
            <w:bookmarkEnd w:id="105"/>
          </w:p>
        </w:tc>
        <w:tc>
          <w:tcPr>
            <w:tcW w:w="2125" w:type="pct"/>
            <w:gridSpan w:val="2"/>
            <w:noWrap w:val="0"/>
            <w:vAlign w:val="center"/>
          </w:tcPr>
          <w:p w14:paraId="611EFC80">
            <w:pPr>
              <w:keepNext w:val="0"/>
              <w:keepLines w:val="0"/>
              <w:pageBreakBefore w:val="0"/>
              <w:widowControl w:val="0"/>
              <w:wordWrap/>
              <w:topLinePunct w:val="0"/>
              <w:bidi w:val="0"/>
              <w:rPr>
                <w:rFonts w:hint="default" w:ascii="Times New Roman" w:hAnsi="Times New Roman" w:cs="Times New Roman"/>
                <w:color w:val="auto"/>
                <w:highlight w:val="none"/>
              </w:rPr>
            </w:pPr>
            <w:bookmarkStart w:id="106" w:name="_Toc20982"/>
            <w:bookmarkStart w:id="107" w:name="_Toc21451"/>
            <w:bookmarkStart w:id="108" w:name="_Toc2055"/>
            <w:r>
              <w:rPr>
                <w:rFonts w:hint="default" w:ascii="Times New Roman" w:hAnsi="Times New Roman" w:cs="Times New Roman"/>
                <w:color w:val="auto"/>
                <w:highlight w:val="none"/>
              </w:rPr>
              <w:t>运营期</w:t>
            </w:r>
            <w:bookmarkEnd w:id="106"/>
            <w:bookmarkEnd w:id="107"/>
            <w:bookmarkEnd w:id="108"/>
          </w:p>
        </w:tc>
      </w:tr>
      <w:tr w14:paraId="146951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0" w:type="pct"/>
            <w:vMerge w:val="continue"/>
            <w:noWrap w:val="0"/>
            <w:vAlign w:val="top"/>
          </w:tcPr>
          <w:p w14:paraId="1EC19FEB">
            <w:pPr>
              <w:keepNext w:val="0"/>
              <w:keepLines w:val="0"/>
              <w:pageBreakBefore w:val="0"/>
              <w:widowControl w:val="0"/>
              <w:wordWrap/>
              <w:topLinePunct w:val="0"/>
              <w:bidi w:val="0"/>
              <w:rPr>
                <w:rFonts w:hint="default" w:ascii="Times New Roman" w:hAnsi="Times New Roman" w:cs="Times New Roman"/>
                <w:color w:val="auto"/>
                <w:highlight w:val="none"/>
              </w:rPr>
            </w:pPr>
          </w:p>
        </w:tc>
        <w:tc>
          <w:tcPr>
            <w:tcW w:w="1406" w:type="pct"/>
            <w:noWrap w:val="0"/>
            <w:vAlign w:val="center"/>
          </w:tcPr>
          <w:p w14:paraId="560B93ED">
            <w:pPr>
              <w:keepNext w:val="0"/>
              <w:keepLines w:val="0"/>
              <w:pageBreakBefore w:val="0"/>
              <w:widowControl w:val="0"/>
              <w:wordWrap/>
              <w:topLinePunct w:val="0"/>
              <w:bidi w:val="0"/>
              <w:rPr>
                <w:rFonts w:hint="default" w:ascii="Times New Roman" w:hAnsi="Times New Roman" w:cs="Times New Roman"/>
                <w:color w:val="auto"/>
                <w:highlight w:val="none"/>
              </w:rPr>
            </w:pPr>
            <w:bookmarkStart w:id="109" w:name="_Toc15580"/>
            <w:bookmarkStart w:id="110" w:name="_Toc23950"/>
            <w:bookmarkStart w:id="111" w:name="_Toc20987"/>
            <w:r>
              <w:rPr>
                <w:rFonts w:hint="default" w:ascii="Times New Roman" w:hAnsi="Times New Roman" w:cs="Times New Roman"/>
                <w:color w:val="auto"/>
                <w:highlight w:val="none"/>
              </w:rPr>
              <w:t>环境保护措施</w:t>
            </w:r>
            <w:bookmarkEnd w:id="109"/>
            <w:bookmarkEnd w:id="110"/>
            <w:bookmarkEnd w:id="111"/>
          </w:p>
        </w:tc>
        <w:tc>
          <w:tcPr>
            <w:tcW w:w="717" w:type="pct"/>
            <w:noWrap w:val="0"/>
            <w:vAlign w:val="center"/>
          </w:tcPr>
          <w:p w14:paraId="25B34802">
            <w:pPr>
              <w:keepNext w:val="0"/>
              <w:keepLines w:val="0"/>
              <w:pageBreakBefore w:val="0"/>
              <w:widowControl w:val="0"/>
              <w:wordWrap/>
              <w:topLinePunct w:val="0"/>
              <w:bidi w:val="0"/>
              <w:rPr>
                <w:rFonts w:hint="default" w:ascii="Times New Roman" w:hAnsi="Times New Roman" w:cs="Times New Roman"/>
                <w:color w:val="auto"/>
                <w:highlight w:val="none"/>
              </w:rPr>
            </w:pPr>
            <w:bookmarkStart w:id="112" w:name="_Toc30204"/>
            <w:bookmarkStart w:id="113" w:name="_Toc12686"/>
            <w:bookmarkStart w:id="114" w:name="_Toc21563"/>
            <w:r>
              <w:rPr>
                <w:rFonts w:hint="default" w:ascii="Times New Roman" w:hAnsi="Times New Roman" w:cs="Times New Roman"/>
                <w:color w:val="auto"/>
                <w:highlight w:val="none"/>
              </w:rPr>
              <w:t>验收</w:t>
            </w:r>
            <w:bookmarkEnd w:id="112"/>
            <w:bookmarkEnd w:id="113"/>
            <w:bookmarkEnd w:id="114"/>
            <w:bookmarkStart w:id="115" w:name="_Toc9575"/>
            <w:bookmarkStart w:id="116" w:name="_Toc12820"/>
            <w:bookmarkStart w:id="117" w:name="_Toc32469"/>
            <w:r>
              <w:rPr>
                <w:rFonts w:hint="default" w:ascii="Times New Roman" w:hAnsi="Times New Roman" w:cs="Times New Roman"/>
                <w:color w:val="auto"/>
                <w:highlight w:val="none"/>
              </w:rPr>
              <w:t>要求</w:t>
            </w:r>
            <w:bookmarkEnd w:id="115"/>
            <w:bookmarkEnd w:id="116"/>
            <w:bookmarkEnd w:id="117"/>
          </w:p>
        </w:tc>
        <w:tc>
          <w:tcPr>
            <w:tcW w:w="1345" w:type="pct"/>
            <w:noWrap w:val="0"/>
            <w:vAlign w:val="center"/>
          </w:tcPr>
          <w:p w14:paraId="38C742D2">
            <w:pPr>
              <w:keepNext w:val="0"/>
              <w:keepLines w:val="0"/>
              <w:pageBreakBefore w:val="0"/>
              <w:widowControl w:val="0"/>
              <w:wordWrap/>
              <w:topLinePunct w:val="0"/>
              <w:bidi w:val="0"/>
              <w:rPr>
                <w:rFonts w:hint="default" w:ascii="Times New Roman" w:hAnsi="Times New Roman" w:cs="Times New Roman"/>
                <w:color w:val="auto"/>
                <w:highlight w:val="none"/>
              </w:rPr>
            </w:pPr>
            <w:bookmarkStart w:id="118" w:name="_Toc15807"/>
            <w:bookmarkStart w:id="119" w:name="_Toc7145"/>
            <w:bookmarkStart w:id="120" w:name="_Toc21519"/>
            <w:r>
              <w:rPr>
                <w:rFonts w:hint="default" w:ascii="Times New Roman" w:hAnsi="Times New Roman" w:cs="Times New Roman"/>
                <w:color w:val="auto"/>
                <w:highlight w:val="none"/>
              </w:rPr>
              <w:t>环境保护措施</w:t>
            </w:r>
            <w:bookmarkEnd w:id="118"/>
            <w:bookmarkEnd w:id="119"/>
            <w:bookmarkEnd w:id="120"/>
          </w:p>
        </w:tc>
        <w:tc>
          <w:tcPr>
            <w:tcW w:w="779" w:type="pct"/>
            <w:noWrap w:val="0"/>
            <w:vAlign w:val="center"/>
          </w:tcPr>
          <w:p w14:paraId="27C8B617">
            <w:pPr>
              <w:keepNext w:val="0"/>
              <w:keepLines w:val="0"/>
              <w:pageBreakBefore w:val="0"/>
              <w:widowControl w:val="0"/>
              <w:wordWrap/>
              <w:topLinePunct w:val="0"/>
              <w:bidi w:val="0"/>
              <w:rPr>
                <w:rFonts w:hint="default" w:ascii="Times New Roman" w:hAnsi="Times New Roman" w:cs="Times New Roman"/>
                <w:color w:val="auto"/>
                <w:highlight w:val="none"/>
              </w:rPr>
            </w:pPr>
            <w:bookmarkStart w:id="121" w:name="_Toc3776"/>
            <w:bookmarkStart w:id="122" w:name="_Toc186"/>
            <w:bookmarkStart w:id="123" w:name="_Toc8124"/>
            <w:r>
              <w:rPr>
                <w:rFonts w:hint="default" w:ascii="Times New Roman" w:hAnsi="Times New Roman" w:cs="Times New Roman"/>
                <w:color w:val="auto"/>
                <w:highlight w:val="none"/>
              </w:rPr>
              <w:t>验收</w:t>
            </w:r>
            <w:bookmarkEnd w:id="121"/>
            <w:bookmarkEnd w:id="122"/>
            <w:bookmarkEnd w:id="123"/>
            <w:bookmarkStart w:id="124" w:name="_Toc11404"/>
            <w:bookmarkStart w:id="125" w:name="_Toc19093"/>
            <w:bookmarkStart w:id="126" w:name="_Toc9738"/>
            <w:r>
              <w:rPr>
                <w:rFonts w:hint="default" w:ascii="Times New Roman" w:hAnsi="Times New Roman" w:cs="Times New Roman"/>
                <w:color w:val="auto"/>
                <w:highlight w:val="none"/>
              </w:rPr>
              <w:t>要求</w:t>
            </w:r>
            <w:bookmarkEnd w:id="124"/>
            <w:bookmarkEnd w:id="125"/>
            <w:bookmarkEnd w:id="126"/>
          </w:p>
        </w:tc>
      </w:tr>
      <w:tr w14:paraId="329E73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0" w:type="pct"/>
            <w:noWrap w:val="0"/>
            <w:vAlign w:val="center"/>
          </w:tcPr>
          <w:p w14:paraId="748601F5">
            <w:pPr>
              <w:keepNext w:val="0"/>
              <w:keepLines w:val="0"/>
              <w:pageBreakBefore w:val="0"/>
              <w:widowControl w:val="0"/>
              <w:wordWrap/>
              <w:topLinePunct w:val="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陆生生态</w:t>
            </w:r>
          </w:p>
        </w:tc>
        <w:tc>
          <w:tcPr>
            <w:tcW w:w="1406" w:type="pct"/>
            <w:noWrap w:val="0"/>
            <w:vAlign w:val="center"/>
          </w:tcPr>
          <w:p w14:paraId="2AF8FDE1">
            <w:pPr>
              <w:keepNext w:val="0"/>
              <w:keepLines w:val="0"/>
              <w:pageBreakBefore w:val="0"/>
              <w:widowControl w:val="0"/>
              <w:wordWrap/>
              <w:topLinePunct w:val="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施工结束后对临时用地进行平整、压实，</w:t>
            </w:r>
            <w:r>
              <w:rPr>
                <w:rFonts w:hint="eastAsia" w:cs="Times New Roman"/>
                <w:color w:val="auto"/>
                <w:highlight w:val="none"/>
                <w:lang w:val="en-US" w:eastAsia="zh-CN"/>
              </w:rPr>
              <w:t>播撒当地草籽进行生态</w:t>
            </w:r>
            <w:r>
              <w:rPr>
                <w:rFonts w:hint="default" w:ascii="Times New Roman" w:hAnsi="Times New Roman" w:cs="Times New Roman"/>
                <w:color w:val="auto"/>
                <w:highlight w:val="none"/>
                <w:lang w:val="en-US" w:eastAsia="zh-CN"/>
              </w:rPr>
              <w:t>恢复</w:t>
            </w:r>
            <w:r>
              <w:rPr>
                <w:rFonts w:hint="default" w:ascii="Times New Roman" w:hAnsi="Times New Roman" w:cs="Times New Roman"/>
                <w:color w:val="auto"/>
                <w:highlight w:val="none"/>
              </w:rPr>
              <w:t>；禁止</w:t>
            </w:r>
            <w:r>
              <w:rPr>
                <w:rFonts w:hint="default" w:ascii="Times New Roman" w:hAnsi="Times New Roman" w:cs="Times New Roman"/>
                <w:color w:val="auto"/>
                <w:highlight w:val="none"/>
                <w:lang w:val="en-US" w:eastAsia="zh-CN"/>
              </w:rPr>
              <w:t>捕杀</w:t>
            </w:r>
            <w:r>
              <w:rPr>
                <w:rFonts w:hint="default" w:ascii="Times New Roman" w:hAnsi="Times New Roman" w:cs="Times New Roman"/>
                <w:color w:val="auto"/>
                <w:highlight w:val="none"/>
              </w:rPr>
              <w:t>野生动物</w:t>
            </w:r>
          </w:p>
        </w:tc>
        <w:tc>
          <w:tcPr>
            <w:tcW w:w="717" w:type="pct"/>
            <w:noWrap w:val="0"/>
            <w:vAlign w:val="center"/>
          </w:tcPr>
          <w:p w14:paraId="2F8CBF8A">
            <w:pPr>
              <w:keepNext w:val="0"/>
              <w:keepLines w:val="0"/>
              <w:pageBreakBefore w:val="0"/>
              <w:widowControl w:val="0"/>
              <w:wordWrap/>
              <w:topLinePunct w:val="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避免因</w:t>
            </w:r>
            <w:r>
              <w:rPr>
                <w:rFonts w:hint="eastAsia" w:cs="Times New Roman"/>
                <w:color w:val="auto"/>
                <w:highlight w:val="none"/>
                <w:lang w:eastAsia="zh-CN"/>
              </w:rPr>
              <w:t>本项目</w:t>
            </w:r>
            <w:r>
              <w:rPr>
                <w:rFonts w:hint="default" w:ascii="Times New Roman" w:hAnsi="Times New Roman" w:cs="Times New Roman"/>
                <w:color w:val="auto"/>
                <w:highlight w:val="none"/>
                <w:lang w:eastAsia="zh-CN"/>
              </w:rPr>
              <w:t>建设造成区域植被破坏及</w:t>
            </w:r>
            <w:r>
              <w:rPr>
                <w:rFonts w:hint="default" w:ascii="Times New Roman" w:hAnsi="Times New Roman" w:cs="Times New Roman"/>
                <w:color w:val="auto"/>
                <w:highlight w:val="none"/>
                <w:lang w:val="en-US" w:eastAsia="zh-CN"/>
              </w:rPr>
              <w:t>水土</w:t>
            </w:r>
            <w:r>
              <w:rPr>
                <w:rFonts w:hint="default" w:ascii="Times New Roman" w:hAnsi="Times New Roman" w:cs="Times New Roman"/>
                <w:color w:val="auto"/>
                <w:highlight w:val="none"/>
                <w:lang w:eastAsia="zh-CN"/>
              </w:rPr>
              <w:t>流失</w:t>
            </w:r>
          </w:p>
        </w:tc>
        <w:tc>
          <w:tcPr>
            <w:tcW w:w="1345" w:type="pct"/>
            <w:noWrap w:val="0"/>
            <w:vAlign w:val="center"/>
          </w:tcPr>
          <w:p w14:paraId="50CB9720">
            <w:pPr>
              <w:keepNext w:val="0"/>
              <w:keepLines w:val="0"/>
              <w:pageBreakBefore w:val="0"/>
              <w:widowControl w:val="0"/>
              <w:wordWrap/>
              <w:topLinePunct w:val="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恢复原有地貌并采取水土保持措施</w:t>
            </w:r>
          </w:p>
        </w:tc>
        <w:tc>
          <w:tcPr>
            <w:tcW w:w="779" w:type="pct"/>
            <w:noWrap w:val="0"/>
            <w:vAlign w:val="center"/>
          </w:tcPr>
          <w:p w14:paraId="4D52DFAC">
            <w:pPr>
              <w:keepNext w:val="0"/>
              <w:keepLines w:val="0"/>
              <w:pageBreakBefore w:val="0"/>
              <w:widowControl w:val="0"/>
              <w:wordWrap/>
              <w:topLinePunct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落实情况</w:t>
            </w:r>
          </w:p>
        </w:tc>
      </w:tr>
      <w:tr w14:paraId="051343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750" w:type="pct"/>
            <w:noWrap w:val="0"/>
            <w:vAlign w:val="center"/>
          </w:tcPr>
          <w:p w14:paraId="59DB460D">
            <w:pPr>
              <w:keepNext w:val="0"/>
              <w:keepLines w:val="0"/>
              <w:pageBreakBefore w:val="0"/>
              <w:widowControl w:val="0"/>
              <w:wordWrap/>
              <w:topLinePunct w:val="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水生生态</w:t>
            </w:r>
          </w:p>
        </w:tc>
        <w:tc>
          <w:tcPr>
            <w:tcW w:w="1406" w:type="pct"/>
            <w:noWrap w:val="0"/>
            <w:vAlign w:val="center"/>
          </w:tcPr>
          <w:p w14:paraId="12350304">
            <w:pPr>
              <w:keepNext w:val="0"/>
              <w:keepLines w:val="0"/>
              <w:pageBreakBefore w:val="0"/>
              <w:widowControl w:val="0"/>
              <w:wordWrap/>
              <w:topLinePunct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717" w:type="pct"/>
            <w:noWrap w:val="0"/>
            <w:vAlign w:val="center"/>
          </w:tcPr>
          <w:p w14:paraId="6E1592FD">
            <w:pPr>
              <w:keepNext w:val="0"/>
              <w:keepLines w:val="0"/>
              <w:pageBreakBefore w:val="0"/>
              <w:widowControl w:val="0"/>
              <w:wordWrap/>
              <w:topLinePunct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345" w:type="pct"/>
            <w:noWrap w:val="0"/>
            <w:vAlign w:val="center"/>
          </w:tcPr>
          <w:p w14:paraId="40A0FFA6">
            <w:pPr>
              <w:keepNext w:val="0"/>
              <w:keepLines w:val="0"/>
              <w:pageBreakBefore w:val="0"/>
              <w:widowControl w:val="0"/>
              <w:wordWrap/>
              <w:topLinePunct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779" w:type="pct"/>
            <w:noWrap w:val="0"/>
            <w:vAlign w:val="center"/>
          </w:tcPr>
          <w:p w14:paraId="41535233">
            <w:pPr>
              <w:keepNext w:val="0"/>
              <w:keepLines w:val="0"/>
              <w:pageBreakBefore w:val="0"/>
              <w:widowControl w:val="0"/>
              <w:wordWrap/>
              <w:topLinePunct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r>
      <w:tr w14:paraId="216664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0" w:type="pct"/>
            <w:noWrap w:val="0"/>
            <w:vAlign w:val="center"/>
          </w:tcPr>
          <w:p w14:paraId="462A93DC">
            <w:pPr>
              <w:keepNext w:val="0"/>
              <w:keepLines w:val="0"/>
              <w:pageBreakBefore w:val="0"/>
              <w:widowControl w:val="0"/>
              <w:wordWrap/>
              <w:topLinePunct w:val="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地表水环境</w:t>
            </w:r>
          </w:p>
        </w:tc>
        <w:tc>
          <w:tcPr>
            <w:tcW w:w="1406" w:type="pct"/>
            <w:noWrap w:val="0"/>
            <w:vAlign w:val="center"/>
          </w:tcPr>
          <w:p w14:paraId="547A83BA">
            <w:pPr>
              <w:keepNext w:val="0"/>
              <w:keepLines w:val="0"/>
              <w:pageBreakBefore w:val="0"/>
              <w:widowControl w:val="0"/>
              <w:wordWrap/>
              <w:topLinePunct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施工废水经</w:t>
            </w:r>
            <w:r>
              <w:rPr>
                <w:rFonts w:hint="default" w:ascii="Times New Roman" w:hAnsi="Times New Roman" w:cs="Times New Roman"/>
                <w:color w:val="auto"/>
                <w:highlight w:val="none"/>
              </w:rPr>
              <w:t>隔油</w:t>
            </w:r>
            <w:r>
              <w:rPr>
                <w:rFonts w:hint="default" w:ascii="Times New Roman" w:hAnsi="Times New Roman" w:cs="Times New Roman"/>
                <w:color w:val="auto"/>
                <w:highlight w:val="none"/>
                <w:lang w:eastAsia="zh-CN"/>
              </w:rPr>
              <w:t>沉淀</w:t>
            </w:r>
            <w:r>
              <w:rPr>
                <w:rFonts w:hint="default" w:ascii="Times New Roman" w:hAnsi="Times New Roman" w:cs="Times New Roman"/>
                <w:color w:val="auto"/>
                <w:highlight w:val="none"/>
              </w:rPr>
              <w:t>池</w:t>
            </w:r>
            <w:r>
              <w:rPr>
                <w:rFonts w:hint="default" w:ascii="Times New Roman" w:hAnsi="Times New Roman" w:cs="Times New Roman"/>
                <w:color w:val="auto"/>
                <w:highlight w:val="none"/>
                <w:lang w:eastAsia="zh-CN"/>
              </w:rPr>
              <w:t>处理后循环使用；</w:t>
            </w:r>
            <w:r>
              <w:rPr>
                <w:rFonts w:hint="default" w:ascii="Times New Roman" w:hAnsi="Times New Roman" w:cs="Times New Roman"/>
                <w:color w:val="auto"/>
                <w:highlight w:val="none"/>
                <w:lang w:val="en-US" w:eastAsia="zh-CN"/>
              </w:rPr>
              <w:t>施工</w:t>
            </w:r>
            <w:r>
              <w:rPr>
                <w:rFonts w:hint="eastAsia" w:cs="Times New Roman"/>
                <w:color w:val="auto"/>
                <w:highlight w:val="none"/>
                <w:lang w:val="en-US" w:eastAsia="zh-CN"/>
              </w:rPr>
              <w:t>生活污水进入园区污水处理厂处理</w:t>
            </w:r>
          </w:p>
        </w:tc>
        <w:tc>
          <w:tcPr>
            <w:tcW w:w="717" w:type="pct"/>
            <w:noWrap w:val="0"/>
            <w:vAlign w:val="center"/>
          </w:tcPr>
          <w:p w14:paraId="4E3FEEDA">
            <w:pPr>
              <w:keepNext w:val="0"/>
              <w:keepLines w:val="0"/>
              <w:pageBreakBefore w:val="0"/>
              <w:widowControl w:val="0"/>
              <w:wordWrap/>
              <w:topLinePunct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施工废水不外排</w:t>
            </w:r>
          </w:p>
        </w:tc>
        <w:tc>
          <w:tcPr>
            <w:tcW w:w="1345" w:type="pct"/>
            <w:noWrap w:val="0"/>
            <w:vAlign w:val="center"/>
          </w:tcPr>
          <w:p w14:paraId="661A61DF">
            <w:pPr>
              <w:keepNext w:val="0"/>
              <w:keepLines w:val="0"/>
              <w:pageBreakBefore w:val="0"/>
              <w:widowControl w:val="0"/>
              <w:wordWrap/>
              <w:topLinePunct w:val="0"/>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生活污水经管道进入园区污水处理厂处理</w:t>
            </w:r>
          </w:p>
        </w:tc>
        <w:tc>
          <w:tcPr>
            <w:tcW w:w="779" w:type="pct"/>
            <w:noWrap w:val="0"/>
            <w:vAlign w:val="center"/>
          </w:tcPr>
          <w:p w14:paraId="5FB276E9">
            <w:pPr>
              <w:keepNext w:val="0"/>
              <w:keepLines w:val="0"/>
              <w:pageBreakBefore w:val="0"/>
              <w:widowControl w:val="0"/>
              <w:wordWrap/>
              <w:topLinePunct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r>
      <w:tr w14:paraId="3C11E1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0" w:type="pct"/>
            <w:noWrap w:val="0"/>
            <w:vAlign w:val="center"/>
          </w:tcPr>
          <w:p w14:paraId="1C45C9C5">
            <w:pPr>
              <w:keepNext w:val="0"/>
              <w:keepLines w:val="0"/>
              <w:pageBreakBefore w:val="0"/>
              <w:widowControl w:val="0"/>
              <w:wordWrap/>
              <w:topLinePunct w:val="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地下水及土壤环境</w:t>
            </w:r>
          </w:p>
        </w:tc>
        <w:tc>
          <w:tcPr>
            <w:tcW w:w="1406" w:type="pct"/>
            <w:noWrap w:val="0"/>
            <w:vAlign w:val="center"/>
          </w:tcPr>
          <w:p w14:paraId="392188CB">
            <w:pPr>
              <w:keepNext w:val="0"/>
              <w:keepLines w:val="0"/>
              <w:pageBreakBefore w:val="0"/>
              <w:widowControl w:val="0"/>
              <w:wordWrap/>
              <w:topLinePunct w:val="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717" w:type="pct"/>
            <w:noWrap w:val="0"/>
            <w:vAlign w:val="center"/>
          </w:tcPr>
          <w:p w14:paraId="5DCD0413">
            <w:pPr>
              <w:keepNext w:val="0"/>
              <w:keepLines w:val="0"/>
              <w:pageBreakBefore w:val="0"/>
              <w:widowControl w:val="0"/>
              <w:wordWrap/>
              <w:topLinePunct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345" w:type="pct"/>
            <w:noWrap w:val="0"/>
            <w:vAlign w:val="center"/>
          </w:tcPr>
          <w:p w14:paraId="5206070D">
            <w:pPr>
              <w:keepNext w:val="0"/>
              <w:keepLines w:val="0"/>
              <w:pageBreakBefore w:val="0"/>
              <w:widowControl w:val="0"/>
              <w:wordWrap/>
              <w:topLinePunct w:val="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779" w:type="pct"/>
            <w:noWrap w:val="0"/>
            <w:vAlign w:val="center"/>
          </w:tcPr>
          <w:p w14:paraId="5B470FA2">
            <w:pPr>
              <w:keepNext w:val="0"/>
              <w:keepLines w:val="0"/>
              <w:pageBreakBefore w:val="0"/>
              <w:widowControl w:val="0"/>
              <w:wordWrap/>
              <w:topLinePunct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r>
      <w:tr w14:paraId="4580F8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0" w:type="pct"/>
            <w:noWrap w:val="0"/>
            <w:vAlign w:val="center"/>
          </w:tcPr>
          <w:p w14:paraId="263376F8">
            <w:pPr>
              <w:keepNext w:val="0"/>
              <w:keepLines w:val="0"/>
              <w:pageBreakBefore w:val="0"/>
              <w:widowControl w:val="0"/>
              <w:wordWrap/>
              <w:topLinePunct w:val="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声环境</w:t>
            </w:r>
          </w:p>
        </w:tc>
        <w:tc>
          <w:tcPr>
            <w:tcW w:w="1406" w:type="pct"/>
            <w:noWrap w:val="0"/>
            <w:vAlign w:val="center"/>
          </w:tcPr>
          <w:p w14:paraId="06192B52">
            <w:pPr>
              <w:keepNext w:val="0"/>
              <w:keepLines w:val="0"/>
              <w:pageBreakBefore w:val="0"/>
              <w:widowControl w:val="0"/>
              <w:wordWrap/>
              <w:topLinePunct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采用低噪声机械设备，将噪声控制在国家规定的允许范围内</w:t>
            </w:r>
          </w:p>
        </w:tc>
        <w:tc>
          <w:tcPr>
            <w:tcW w:w="717" w:type="pct"/>
            <w:noWrap w:val="0"/>
            <w:vAlign w:val="center"/>
          </w:tcPr>
          <w:p w14:paraId="05FC4B45">
            <w:pPr>
              <w:keepNext w:val="0"/>
              <w:keepLines w:val="0"/>
              <w:pageBreakBefore w:val="0"/>
              <w:widowControl w:val="0"/>
              <w:wordWrap/>
              <w:topLinePunct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满足《建筑施工场界环境噪声排放标准》(GB12523-2011)</w:t>
            </w:r>
          </w:p>
        </w:tc>
        <w:tc>
          <w:tcPr>
            <w:tcW w:w="1345" w:type="pct"/>
            <w:noWrap w:val="0"/>
            <w:vAlign w:val="center"/>
          </w:tcPr>
          <w:p w14:paraId="48AB0AFF">
            <w:pPr>
              <w:keepNext w:val="0"/>
              <w:keepLines w:val="0"/>
              <w:pageBreakBefore w:val="0"/>
              <w:widowControl w:val="0"/>
              <w:wordWrap/>
              <w:topLinePunct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1"/>
                <w:szCs w:val="21"/>
                <w:highlight w:val="none"/>
                <w:lang w:eastAsia="zh-CN"/>
              </w:rPr>
              <w:t>低噪声设备、基础减振等措施</w:t>
            </w:r>
          </w:p>
        </w:tc>
        <w:tc>
          <w:tcPr>
            <w:tcW w:w="779" w:type="pct"/>
            <w:noWrap w:val="0"/>
            <w:vAlign w:val="center"/>
          </w:tcPr>
          <w:p w14:paraId="1D8B9C93">
            <w:pPr>
              <w:keepNext w:val="0"/>
              <w:keepLines w:val="0"/>
              <w:pageBreakBefore w:val="0"/>
              <w:widowControl w:val="0"/>
              <w:wordWrap/>
              <w:topLinePunct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1"/>
                <w:szCs w:val="21"/>
                <w:highlight w:val="none"/>
                <w:lang w:eastAsia="zh-CN"/>
              </w:rPr>
              <w:t>场界噪声符合《工业企业厂界环境噪声排放标准》（</w:t>
            </w:r>
            <w:r>
              <w:rPr>
                <w:rFonts w:hint="default" w:ascii="Times New Roman" w:hAnsi="Times New Roman" w:cs="Times New Roman"/>
                <w:color w:val="auto"/>
                <w:sz w:val="21"/>
                <w:szCs w:val="21"/>
                <w:highlight w:val="none"/>
                <w:lang w:val="en-US" w:eastAsia="zh-CN"/>
              </w:rPr>
              <w:t>GB12348-2008</w:t>
            </w:r>
            <w:r>
              <w:rPr>
                <w:rFonts w:hint="default" w:ascii="Times New Roman" w:hAnsi="Times New Roman" w:cs="Times New Roman"/>
                <w:color w:val="auto"/>
                <w:sz w:val="21"/>
                <w:szCs w:val="21"/>
                <w:highlight w:val="none"/>
                <w:lang w:eastAsia="zh-CN"/>
              </w:rPr>
              <w:t>）中</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类标准</w:t>
            </w:r>
          </w:p>
        </w:tc>
      </w:tr>
      <w:tr w14:paraId="35DD63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750" w:type="pct"/>
            <w:noWrap w:val="0"/>
            <w:vAlign w:val="center"/>
          </w:tcPr>
          <w:p w14:paraId="13D38AA3">
            <w:pPr>
              <w:keepNext w:val="0"/>
              <w:keepLines w:val="0"/>
              <w:pageBreakBefore w:val="0"/>
              <w:widowControl w:val="0"/>
              <w:wordWrap/>
              <w:topLinePunct w:val="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振动</w:t>
            </w:r>
          </w:p>
        </w:tc>
        <w:tc>
          <w:tcPr>
            <w:tcW w:w="1406" w:type="pct"/>
            <w:noWrap w:val="0"/>
            <w:vAlign w:val="center"/>
          </w:tcPr>
          <w:p w14:paraId="1EDD138F">
            <w:pPr>
              <w:keepNext w:val="0"/>
              <w:keepLines w:val="0"/>
              <w:pageBreakBefore w:val="0"/>
              <w:widowControl w:val="0"/>
              <w:wordWrap/>
              <w:topLinePunct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717" w:type="pct"/>
            <w:noWrap w:val="0"/>
            <w:vAlign w:val="center"/>
          </w:tcPr>
          <w:p w14:paraId="7E7C3C6A">
            <w:pPr>
              <w:keepNext w:val="0"/>
              <w:keepLines w:val="0"/>
              <w:pageBreakBefore w:val="0"/>
              <w:widowControl w:val="0"/>
              <w:wordWrap/>
              <w:topLinePunct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345" w:type="pct"/>
            <w:noWrap w:val="0"/>
            <w:vAlign w:val="center"/>
          </w:tcPr>
          <w:p w14:paraId="5AE94327">
            <w:pPr>
              <w:keepNext w:val="0"/>
              <w:keepLines w:val="0"/>
              <w:pageBreakBefore w:val="0"/>
              <w:widowControl w:val="0"/>
              <w:wordWrap/>
              <w:topLinePunct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779" w:type="pct"/>
            <w:noWrap w:val="0"/>
            <w:vAlign w:val="center"/>
          </w:tcPr>
          <w:p w14:paraId="7787F429">
            <w:pPr>
              <w:keepNext w:val="0"/>
              <w:keepLines w:val="0"/>
              <w:pageBreakBefore w:val="0"/>
              <w:widowControl w:val="0"/>
              <w:wordWrap/>
              <w:topLinePunct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r>
      <w:tr w14:paraId="2EE0B9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1" w:hRule="atLeast"/>
        </w:trPr>
        <w:tc>
          <w:tcPr>
            <w:tcW w:w="750" w:type="pct"/>
            <w:noWrap w:val="0"/>
            <w:vAlign w:val="center"/>
          </w:tcPr>
          <w:p w14:paraId="6C1A8DBA">
            <w:pPr>
              <w:keepNext w:val="0"/>
              <w:keepLines w:val="0"/>
              <w:pageBreakBefore w:val="0"/>
              <w:widowControl w:val="0"/>
              <w:wordWrap/>
              <w:topLinePunct w:val="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大气环境</w:t>
            </w:r>
          </w:p>
        </w:tc>
        <w:tc>
          <w:tcPr>
            <w:tcW w:w="1406" w:type="pct"/>
            <w:noWrap w:val="0"/>
            <w:vAlign w:val="center"/>
          </w:tcPr>
          <w:p w14:paraId="1C1A5891">
            <w:pPr>
              <w:keepNext w:val="0"/>
              <w:keepLines w:val="0"/>
              <w:pageBreakBefore w:val="0"/>
              <w:widowControl w:val="0"/>
              <w:wordWrap/>
              <w:topLinePunct w:val="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禁止大风（4级以上）天气施工</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洒水抑尘、</w:t>
            </w:r>
            <w:r>
              <w:rPr>
                <w:rFonts w:hint="default" w:ascii="Times New Roman" w:hAnsi="Times New Roman" w:cs="Times New Roman"/>
                <w:color w:val="auto"/>
                <w:highlight w:val="none"/>
              </w:rPr>
              <w:t>限制车速</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临时堆土设置拦挡</w:t>
            </w:r>
            <w:r>
              <w:rPr>
                <w:rFonts w:hint="default" w:ascii="Times New Roman" w:hAnsi="Times New Roman" w:cs="Times New Roman"/>
                <w:color w:val="auto"/>
                <w:highlight w:val="none"/>
                <w:lang w:eastAsia="zh-CN"/>
              </w:rPr>
              <w:t>、运输车辆低速、密闭运输；</w:t>
            </w:r>
          </w:p>
        </w:tc>
        <w:tc>
          <w:tcPr>
            <w:tcW w:w="717" w:type="pct"/>
            <w:noWrap w:val="0"/>
            <w:vAlign w:val="center"/>
          </w:tcPr>
          <w:p w14:paraId="02EF3309">
            <w:pPr>
              <w:keepNext w:val="0"/>
              <w:keepLines w:val="0"/>
              <w:pageBreakBefore w:val="0"/>
              <w:widowControl w:val="0"/>
              <w:wordWrap/>
              <w:topLinePunct w:val="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大气环境质量不因</w:t>
            </w:r>
            <w:r>
              <w:rPr>
                <w:rFonts w:hint="eastAsia" w:cs="Times New Roman"/>
                <w:color w:val="auto"/>
                <w:highlight w:val="none"/>
                <w:lang w:eastAsia="zh-CN"/>
              </w:rPr>
              <w:t>本项目</w:t>
            </w:r>
            <w:r>
              <w:rPr>
                <w:rFonts w:hint="default" w:ascii="Times New Roman" w:hAnsi="Times New Roman" w:cs="Times New Roman"/>
                <w:color w:val="auto"/>
                <w:highlight w:val="none"/>
                <w:lang w:eastAsia="zh-CN"/>
              </w:rPr>
              <w:t>的建设而降低</w:t>
            </w:r>
          </w:p>
        </w:tc>
        <w:tc>
          <w:tcPr>
            <w:tcW w:w="1345" w:type="pct"/>
            <w:noWrap w:val="0"/>
            <w:vAlign w:val="center"/>
          </w:tcPr>
          <w:p w14:paraId="22689DCC">
            <w:pPr>
              <w:keepNext w:val="0"/>
              <w:keepLines w:val="0"/>
              <w:pageBreakBefore w:val="0"/>
              <w:widowControl w:val="0"/>
              <w:wordWrap/>
              <w:topLinePunct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779" w:type="pct"/>
            <w:noWrap w:val="0"/>
            <w:vAlign w:val="center"/>
          </w:tcPr>
          <w:p w14:paraId="57307536">
            <w:pPr>
              <w:keepNext w:val="0"/>
              <w:keepLines w:val="0"/>
              <w:pageBreakBefore w:val="0"/>
              <w:widowControl w:val="0"/>
              <w:wordWrap/>
              <w:topLinePunct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r>
      <w:tr w14:paraId="549E4B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42" w:hRule="atLeast"/>
        </w:trPr>
        <w:tc>
          <w:tcPr>
            <w:tcW w:w="750" w:type="pct"/>
            <w:noWrap w:val="0"/>
            <w:vAlign w:val="center"/>
          </w:tcPr>
          <w:p w14:paraId="09205E2F">
            <w:pPr>
              <w:keepNext w:val="0"/>
              <w:keepLines w:val="0"/>
              <w:pageBreakBefore w:val="0"/>
              <w:widowControl w:val="0"/>
              <w:wordWrap/>
              <w:topLinePunct w:val="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固体废物</w:t>
            </w:r>
          </w:p>
        </w:tc>
        <w:tc>
          <w:tcPr>
            <w:tcW w:w="1406" w:type="pct"/>
            <w:noWrap w:val="0"/>
            <w:vAlign w:val="center"/>
          </w:tcPr>
          <w:p w14:paraId="6D7BC2DC">
            <w:pPr>
              <w:keepNext w:val="0"/>
              <w:keepLines w:val="0"/>
              <w:pageBreakBefore w:val="0"/>
              <w:widowControl w:val="0"/>
              <w:wordWrap/>
              <w:topLinePunct w:val="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土方回填</w:t>
            </w:r>
            <w:r>
              <w:rPr>
                <w:rFonts w:hint="default" w:ascii="Times New Roman" w:hAnsi="Times New Roman" w:cs="Times New Roman"/>
                <w:color w:val="auto"/>
                <w:highlight w:val="none"/>
                <w:lang w:eastAsia="zh-CN"/>
              </w:rPr>
              <w:t>，无弃土产生</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建筑垃圾定点收集后，拉运至当地政府指定建筑垃圾填埋场填埋</w:t>
            </w:r>
            <w:r>
              <w:rPr>
                <w:rFonts w:hint="default" w:ascii="Times New Roman" w:hAnsi="Times New Roman" w:cs="Times New Roman"/>
                <w:color w:val="auto"/>
                <w:highlight w:val="none"/>
              </w:rPr>
              <w:t>；生活垃圾</w:t>
            </w:r>
            <w:r>
              <w:rPr>
                <w:rFonts w:hint="default" w:ascii="Times New Roman" w:hAnsi="Times New Roman" w:cs="Times New Roman"/>
                <w:color w:val="auto"/>
                <w:highlight w:val="none"/>
                <w:lang w:val="en-US" w:eastAsia="zh-CN"/>
              </w:rPr>
              <w:t>集中收集后，统一运至</w:t>
            </w:r>
            <w:r>
              <w:rPr>
                <w:rFonts w:hint="eastAsia" w:cs="Times New Roman"/>
                <w:color w:val="auto"/>
                <w:highlight w:val="none"/>
                <w:lang w:val="en-US" w:eastAsia="zh-CN"/>
              </w:rPr>
              <w:t>附近</w:t>
            </w:r>
            <w:r>
              <w:rPr>
                <w:rFonts w:hint="default" w:ascii="Times New Roman" w:hAnsi="Times New Roman" w:cs="Times New Roman"/>
                <w:color w:val="auto"/>
                <w:highlight w:val="none"/>
                <w:lang w:val="en-US" w:eastAsia="zh-CN"/>
              </w:rPr>
              <w:t>垃圾转运站处置</w:t>
            </w:r>
            <w:r>
              <w:rPr>
                <w:rFonts w:hint="default" w:ascii="Times New Roman" w:hAnsi="Times New Roman" w:cs="Times New Roman"/>
                <w:color w:val="auto"/>
                <w:highlight w:val="none"/>
                <w:lang w:eastAsia="zh-CN"/>
              </w:rPr>
              <w:t>；施工完成后及时做好迹地清理工作</w:t>
            </w:r>
          </w:p>
        </w:tc>
        <w:tc>
          <w:tcPr>
            <w:tcW w:w="717" w:type="pct"/>
            <w:noWrap w:val="0"/>
            <w:vAlign w:val="center"/>
          </w:tcPr>
          <w:p w14:paraId="23F35EC5">
            <w:pPr>
              <w:keepNext w:val="0"/>
              <w:keepLines w:val="0"/>
              <w:pageBreakBefore w:val="0"/>
              <w:widowControl w:val="0"/>
              <w:wordWrap/>
              <w:topLinePunct w:val="0"/>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施工结束后，</w:t>
            </w:r>
            <w:r>
              <w:rPr>
                <w:rFonts w:hint="default" w:ascii="Times New Roman" w:hAnsi="Times New Roman" w:eastAsia="宋体" w:cs="Times New Roman"/>
                <w:color w:val="auto"/>
                <w:highlight w:val="none"/>
                <w:lang w:eastAsia="zh-CN"/>
              </w:rPr>
              <w:t>场内迹地清理及恢复</w:t>
            </w:r>
          </w:p>
        </w:tc>
        <w:tc>
          <w:tcPr>
            <w:tcW w:w="1345" w:type="pct"/>
            <w:noWrap w:val="0"/>
            <w:vAlign w:val="center"/>
          </w:tcPr>
          <w:p w14:paraId="6886E761">
            <w:pPr>
              <w:keepNext w:val="0"/>
              <w:keepLines w:val="0"/>
              <w:pageBreakBefore w:val="0"/>
              <w:widowControl w:val="0"/>
              <w:wordWrap/>
              <w:topLinePunct w:val="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生活垃圾集中收集后，定期自行清运至</w:t>
            </w:r>
            <w:r>
              <w:rPr>
                <w:rFonts w:hint="eastAsia" w:ascii="Times New Roman" w:hAnsi="Times New Roman" w:eastAsia="宋体" w:cs="Times New Roman"/>
                <w:color w:val="auto"/>
                <w:highlight w:val="none"/>
                <w:lang w:val="en-US" w:eastAsia="zh-CN"/>
              </w:rPr>
              <w:t>附近</w:t>
            </w:r>
            <w:r>
              <w:rPr>
                <w:rFonts w:hint="default" w:ascii="Times New Roman" w:hAnsi="Times New Roman" w:eastAsia="宋体" w:cs="Times New Roman"/>
                <w:color w:val="auto"/>
                <w:highlight w:val="none"/>
                <w:lang w:val="en-US" w:eastAsia="zh-CN"/>
              </w:rPr>
              <w:t>垃圾转运站；废磷酸铁锂电池</w:t>
            </w:r>
            <w:r>
              <w:rPr>
                <w:rFonts w:hint="eastAsia" w:ascii="Times New Roman" w:hAnsi="Times New Roman" w:eastAsia="宋体" w:cs="Times New Roman"/>
                <w:color w:val="auto"/>
                <w:highlight w:val="none"/>
                <w:lang w:val="en-US" w:eastAsia="zh-CN"/>
              </w:rPr>
              <w:t>、废钠离子电池</w:t>
            </w:r>
            <w:r>
              <w:rPr>
                <w:rFonts w:hint="default" w:ascii="Times New Roman" w:hAnsi="Times New Roman" w:eastAsia="宋体" w:cs="Times New Roman"/>
                <w:color w:val="auto"/>
                <w:highlight w:val="none"/>
                <w:lang w:val="en-US" w:eastAsia="zh-CN"/>
              </w:rPr>
              <w:t>由厂家回收；检修及事故情况下产生的事故废油，与废润滑油、废旧蓄电池、含油抹布定期交由危废处理资质单位处理</w:t>
            </w:r>
          </w:p>
        </w:tc>
        <w:tc>
          <w:tcPr>
            <w:tcW w:w="779" w:type="pct"/>
            <w:noWrap w:val="0"/>
            <w:vAlign w:val="center"/>
          </w:tcPr>
          <w:p w14:paraId="53253CD4">
            <w:pPr>
              <w:keepNext w:val="0"/>
              <w:keepLines w:val="0"/>
              <w:pageBreakBefore w:val="0"/>
              <w:widowControl w:val="0"/>
              <w:wordWrap/>
              <w:topLinePunct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妥善处理</w:t>
            </w:r>
          </w:p>
        </w:tc>
      </w:tr>
      <w:tr w14:paraId="6E0FB4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32" w:hRule="atLeast"/>
        </w:trPr>
        <w:tc>
          <w:tcPr>
            <w:tcW w:w="750" w:type="pct"/>
            <w:noWrap w:val="0"/>
            <w:vAlign w:val="center"/>
          </w:tcPr>
          <w:p w14:paraId="1FD580AB">
            <w:pPr>
              <w:keepNext w:val="0"/>
              <w:keepLines w:val="0"/>
              <w:pageBreakBefore w:val="0"/>
              <w:widowControl w:val="0"/>
              <w:wordWrap/>
              <w:topLinePunct w:val="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电磁环境</w:t>
            </w:r>
          </w:p>
        </w:tc>
        <w:tc>
          <w:tcPr>
            <w:tcW w:w="1406" w:type="pct"/>
            <w:noWrap w:val="0"/>
            <w:vAlign w:val="center"/>
          </w:tcPr>
          <w:p w14:paraId="0DA862F7">
            <w:pPr>
              <w:keepNext w:val="0"/>
              <w:keepLines w:val="0"/>
              <w:pageBreakBefore w:val="0"/>
              <w:widowControl w:val="0"/>
              <w:wordWrap/>
              <w:topLinePunct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717" w:type="pct"/>
            <w:noWrap w:val="0"/>
            <w:vAlign w:val="center"/>
          </w:tcPr>
          <w:p w14:paraId="07B472E0">
            <w:pPr>
              <w:keepNext w:val="0"/>
              <w:keepLines w:val="0"/>
              <w:pageBreakBefore w:val="0"/>
              <w:widowControl w:val="0"/>
              <w:wordWrap/>
              <w:topLinePunct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345" w:type="pct"/>
            <w:noWrap w:val="0"/>
            <w:vAlign w:val="center"/>
          </w:tcPr>
          <w:p w14:paraId="0E6D0C9E">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（1）合理布局站内电气设备及配电装置；</w:t>
            </w:r>
          </w:p>
          <w:p w14:paraId="01FA6039">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w:t>
            </w:r>
            <w:r>
              <w:rPr>
                <w:rFonts w:hint="eastAsia" w:ascii="Times New Roman" w:hAnsi="Times New Roman" w:eastAsia="宋体" w:cs="Times New Roman"/>
                <w:color w:val="auto"/>
                <w:spacing w:val="-6"/>
                <w:sz w:val="21"/>
                <w:szCs w:val="21"/>
                <w:highlight w:val="none"/>
                <w:lang w:val="en-US" w:eastAsia="zh-CN"/>
              </w:rPr>
              <w:t>2</w:t>
            </w:r>
            <w:r>
              <w:rPr>
                <w:rFonts w:hint="default" w:ascii="Times New Roman" w:hAnsi="Times New Roman" w:eastAsia="宋体" w:cs="Times New Roman"/>
                <w:color w:val="auto"/>
                <w:spacing w:val="-6"/>
                <w:sz w:val="21"/>
                <w:szCs w:val="21"/>
                <w:highlight w:val="none"/>
                <w:lang w:val="en-US" w:eastAsia="zh-CN"/>
              </w:rPr>
              <w:t>）应加强对</w:t>
            </w:r>
            <w:r>
              <w:rPr>
                <w:rFonts w:hint="eastAsia" w:ascii="Times New Roman" w:hAnsi="Times New Roman" w:eastAsia="宋体" w:cs="Times New Roman"/>
                <w:color w:val="auto"/>
                <w:spacing w:val="-6"/>
                <w:sz w:val="21"/>
                <w:szCs w:val="21"/>
                <w:highlight w:val="none"/>
                <w:lang w:val="en-US" w:eastAsia="zh-CN"/>
              </w:rPr>
              <w:t>升压站</w:t>
            </w:r>
            <w:r>
              <w:rPr>
                <w:rFonts w:hint="default" w:ascii="Times New Roman" w:hAnsi="Times New Roman" w:eastAsia="宋体" w:cs="Times New Roman"/>
                <w:color w:val="auto"/>
                <w:spacing w:val="-6"/>
                <w:sz w:val="21"/>
                <w:szCs w:val="21"/>
                <w:highlight w:val="none"/>
                <w:lang w:val="en-US" w:eastAsia="zh-CN"/>
              </w:rPr>
              <w:t>的维护和管理，保证</w:t>
            </w:r>
            <w:r>
              <w:rPr>
                <w:rFonts w:hint="eastAsia" w:ascii="Times New Roman" w:hAnsi="Times New Roman" w:eastAsia="宋体" w:cs="Times New Roman"/>
                <w:color w:val="auto"/>
                <w:spacing w:val="-6"/>
                <w:sz w:val="21"/>
                <w:szCs w:val="21"/>
                <w:highlight w:val="none"/>
                <w:lang w:val="en-US" w:eastAsia="zh-CN"/>
              </w:rPr>
              <w:t>升压站</w:t>
            </w:r>
            <w:r>
              <w:rPr>
                <w:rFonts w:hint="default" w:ascii="Times New Roman" w:hAnsi="Times New Roman" w:eastAsia="宋体" w:cs="Times New Roman"/>
                <w:color w:val="auto"/>
                <w:spacing w:val="-6"/>
                <w:sz w:val="21"/>
                <w:szCs w:val="21"/>
                <w:highlight w:val="none"/>
                <w:lang w:val="en-US" w:eastAsia="zh-CN"/>
              </w:rPr>
              <w:t>处于正常运行状态；</w:t>
            </w:r>
          </w:p>
          <w:p w14:paraId="22B36E88">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）在</w:t>
            </w:r>
            <w:r>
              <w:rPr>
                <w:rFonts w:hint="eastAsia" w:ascii="Times New Roman" w:hAnsi="Times New Roman" w:eastAsia="宋体" w:cs="Times New Roman"/>
                <w:color w:val="auto"/>
                <w:sz w:val="21"/>
                <w:szCs w:val="21"/>
                <w:highlight w:val="none"/>
                <w:lang w:val="en-US" w:eastAsia="zh-CN"/>
              </w:rPr>
              <w:t>升压站</w:t>
            </w:r>
            <w:r>
              <w:rPr>
                <w:rFonts w:hint="default" w:ascii="Times New Roman" w:hAnsi="Times New Roman" w:eastAsia="宋体" w:cs="Times New Roman"/>
                <w:color w:val="auto"/>
                <w:sz w:val="21"/>
                <w:szCs w:val="21"/>
                <w:highlight w:val="none"/>
                <w:lang w:val="en-US" w:eastAsia="zh-CN"/>
              </w:rPr>
              <w:t>周围设置围栏，防止人员近距离接触；设立电磁辐射安全警示标志；</w:t>
            </w:r>
          </w:p>
          <w:p w14:paraId="370DA083">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）在厂内线路、构架等处设施警示标识，禁止人员靠近线路等；</w:t>
            </w:r>
          </w:p>
          <w:p w14:paraId="7028A880">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）制定安全操作规程，加强职工安全教育，加强电磁水平监测；</w:t>
            </w:r>
          </w:p>
          <w:p w14:paraId="22A038D2">
            <w:pPr>
              <w:keepNext w:val="0"/>
              <w:keepLines w:val="0"/>
              <w:pageBreakBefore w:val="0"/>
              <w:widowControl w:val="0"/>
              <w:wordWrap/>
              <w:topLinePunct w:val="0"/>
              <w:bidi w:val="0"/>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spacing w:val="-6"/>
                <w:sz w:val="21"/>
                <w:szCs w:val="21"/>
                <w:highlight w:val="none"/>
                <w:lang w:val="en-US" w:eastAsia="zh-CN"/>
              </w:rPr>
              <w:t>（</w:t>
            </w:r>
            <w:r>
              <w:rPr>
                <w:rFonts w:hint="eastAsia" w:ascii="Times New Roman" w:hAnsi="Times New Roman" w:eastAsia="宋体" w:cs="Times New Roman"/>
                <w:color w:val="auto"/>
                <w:spacing w:val="-6"/>
                <w:sz w:val="21"/>
                <w:szCs w:val="21"/>
                <w:highlight w:val="none"/>
                <w:lang w:val="en-US" w:eastAsia="zh-CN"/>
              </w:rPr>
              <w:t>6</w:t>
            </w:r>
            <w:r>
              <w:rPr>
                <w:rFonts w:hint="default" w:ascii="Times New Roman" w:hAnsi="Times New Roman" w:eastAsia="宋体" w:cs="Times New Roman"/>
                <w:color w:val="auto"/>
                <w:spacing w:val="-6"/>
                <w:sz w:val="21"/>
                <w:szCs w:val="21"/>
                <w:highlight w:val="none"/>
                <w:lang w:val="en-US" w:eastAsia="zh-CN"/>
              </w:rPr>
              <w:t>）对员工进行电磁辐射基础知识培训，在巡检带电维修过程中，尽可能减少暴露在电磁场中的时间</w:t>
            </w:r>
            <w:r>
              <w:rPr>
                <w:rFonts w:hint="eastAsia" w:ascii="Times New Roman" w:hAnsi="Times New Roman" w:eastAsia="宋体" w:cs="Times New Roman"/>
                <w:color w:val="auto"/>
                <w:spacing w:val="-6"/>
                <w:sz w:val="21"/>
                <w:szCs w:val="21"/>
                <w:highlight w:val="none"/>
                <w:lang w:val="en-US" w:eastAsia="zh-CN"/>
              </w:rPr>
              <w:t>。</w:t>
            </w:r>
          </w:p>
        </w:tc>
        <w:tc>
          <w:tcPr>
            <w:tcW w:w="779" w:type="pct"/>
            <w:noWrap w:val="0"/>
            <w:vAlign w:val="center"/>
          </w:tcPr>
          <w:p w14:paraId="31C36A9B">
            <w:pPr>
              <w:keepNext w:val="0"/>
              <w:keepLines w:val="0"/>
              <w:pageBreakBefore w:val="0"/>
              <w:widowControl w:val="0"/>
              <w:wordWrap/>
              <w:topLinePunct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1"/>
                <w:szCs w:val="21"/>
                <w:highlight w:val="none"/>
                <w:lang w:val="en-US" w:eastAsia="zh-CN"/>
              </w:rPr>
              <w:t>220kV</w:t>
            </w:r>
            <w:r>
              <w:rPr>
                <w:rFonts w:hint="default" w:ascii="Times New Roman" w:hAnsi="Times New Roman" w:cs="Times New Roman"/>
                <w:color w:val="auto"/>
                <w:sz w:val="21"/>
                <w:szCs w:val="21"/>
                <w:highlight w:val="none"/>
                <w:lang w:eastAsia="zh-CN"/>
              </w:rPr>
              <w:t>升压站</w:t>
            </w:r>
            <w:r>
              <w:rPr>
                <w:rFonts w:hint="default" w:ascii="Times New Roman" w:hAnsi="Times New Roman" w:eastAsia="宋体" w:cs="Times New Roman"/>
                <w:color w:val="auto"/>
                <w:sz w:val="21"/>
                <w:szCs w:val="21"/>
                <w:highlight w:val="none"/>
                <w:lang w:eastAsia="zh-CN"/>
              </w:rPr>
              <w:t>运行时产生的电磁满足</w:t>
            </w:r>
            <w:r>
              <w:rPr>
                <w:rFonts w:hint="default" w:ascii="Times New Roman" w:hAnsi="Times New Roman" w:eastAsia="宋体" w:cs="Times New Roman"/>
                <w:color w:val="auto"/>
                <w:sz w:val="21"/>
                <w:szCs w:val="21"/>
                <w:highlight w:val="none"/>
              </w:rPr>
              <w:t>《电磁环境控制限值》(GB8702-2014)中的公众暴露控制限值要求</w:t>
            </w:r>
          </w:p>
        </w:tc>
      </w:tr>
      <w:tr w14:paraId="57C907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0" w:type="pct"/>
            <w:noWrap w:val="0"/>
            <w:vAlign w:val="center"/>
          </w:tcPr>
          <w:p w14:paraId="2C1EFB11">
            <w:pPr>
              <w:keepNext w:val="0"/>
              <w:keepLines w:val="0"/>
              <w:pageBreakBefore w:val="0"/>
              <w:widowControl w:val="0"/>
              <w:wordWrap/>
              <w:topLinePunct w:val="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环境风险</w:t>
            </w:r>
          </w:p>
        </w:tc>
        <w:tc>
          <w:tcPr>
            <w:tcW w:w="1406" w:type="pct"/>
            <w:noWrap w:val="0"/>
            <w:vAlign w:val="center"/>
          </w:tcPr>
          <w:p w14:paraId="38C02B16">
            <w:pPr>
              <w:keepNext w:val="0"/>
              <w:keepLines w:val="0"/>
              <w:pageBreakBefore w:val="0"/>
              <w:widowControl w:val="0"/>
              <w:wordWrap/>
              <w:topLinePunct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717" w:type="pct"/>
            <w:noWrap w:val="0"/>
            <w:vAlign w:val="center"/>
          </w:tcPr>
          <w:p w14:paraId="47F7F0FA">
            <w:pPr>
              <w:keepNext w:val="0"/>
              <w:keepLines w:val="0"/>
              <w:pageBreakBefore w:val="0"/>
              <w:widowControl w:val="0"/>
              <w:wordWrap/>
              <w:topLinePunct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345" w:type="pct"/>
            <w:noWrap w:val="0"/>
            <w:vAlign w:val="center"/>
          </w:tcPr>
          <w:p w14:paraId="2B3CAE06">
            <w:pPr>
              <w:keepNext w:val="0"/>
              <w:keepLines w:val="0"/>
              <w:pageBreakBefore w:val="0"/>
              <w:widowControl w:val="0"/>
              <w:kinsoku/>
              <w:wordWrap/>
              <w:overflowPunct/>
              <w:topLinePunct w:val="0"/>
              <w:autoSpaceDE/>
              <w:autoSpaceDN/>
              <w:bidi w:val="0"/>
              <w:adjustRightInd w:val="0"/>
              <w:snapToGrid w:val="0"/>
              <w:spacing w:line="260" w:lineRule="exact"/>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在</w:t>
            </w:r>
            <w:r>
              <w:rPr>
                <w:rFonts w:hint="default" w:ascii="Times New Roman" w:hAnsi="Times New Roman" w:eastAsia="宋体" w:cs="Times New Roman"/>
                <w:color w:val="auto"/>
                <w:sz w:val="21"/>
                <w:szCs w:val="21"/>
                <w:highlight w:val="none"/>
                <w:lang w:val="en-US" w:eastAsia="zh-CN"/>
              </w:rPr>
              <w:t>220kV升压站内设置一个事故油池用于收集废变压器油</w:t>
            </w:r>
            <w:r>
              <w:rPr>
                <w:rFonts w:hint="eastAsia" w:ascii="Times New Roman" w:hAnsi="Times New Roman" w:eastAsia="宋体" w:cs="Times New Roman"/>
                <w:color w:val="auto"/>
                <w:sz w:val="21"/>
                <w:szCs w:val="21"/>
                <w:highlight w:val="none"/>
                <w:lang w:val="en-US" w:eastAsia="zh-CN"/>
              </w:rPr>
              <w:t>；</w:t>
            </w:r>
          </w:p>
          <w:p w14:paraId="7807A895">
            <w:pPr>
              <w:keepNext w:val="0"/>
              <w:keepLines w:val="0"/>
              <w:pageBreakBefore w:val="0"/>
              <w:widowControl w:val="0"/>
              <w:kinsoku/>
              <w:wordWrap/>
              <w:overflowPunct/>
              <w:topLinePunct w:val="0"/>
              <w:autoSpaceDE/>
              <w:autoSpaceDN/>
              <w:bidi w:val="0"/>
              <w:adjustRightInd w:val="0"/>
              <w:snapToGrid w:val="0"/>
              <w:spacing w:line="260" w:lineRule="exact"/>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（2）危废贮存库暂存地面采取防渗措施；</w:t>
            </w:r>
          </w:p>
          <w:p w14:paraId="514E9204">
            <w:pPr>
              <w:keepNext w:val="0"/>
              <w:keepLines w:val="0"/>
              <w:pageBreakBefore w:val="0"/>
              <w:widowControl w:val="0"/>
              <w:wordWrap/>
              <w:topLinePunct w:val="0"/>
              <w:bidi w:val="0"/>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（3）站内设置火灾自动报警系统、视频监控系统以及消防系统</w:t>
            </w:r>
          </w:p>
        </w:tc>
        <w:tc>
          <w:tcPr>
            <w:tcW w:w="779" w:type="pct"/>
            <w:noWrap w:val="0"/>
            <w:vAlign w:val="center"/>
          </w:tcPr>
          <w:p w14:paraId="5A51AC0F">
            <w:pPr>
              <w:keepNext w:val="0"/>
              <w:keepLines w:val="0"/>
              <w:pageBreakBefore w:val="0"/>
              <w:widowControl w:val="0"/>
              <w:wordWrap/>
              <w:topLinePunct w:val="0"/>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落实情况</w:t>
            </w:r>
          </w:p>
        </w:tc>
      </w:tr>
      <w:tr w14:paraId="09391A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0" w:type="pct"/>
            <w:noWrap w:val="0"/>
            <w:vAlign w:val="center"/>
          </w:tcPr>
          <w:p w14:paraId="5BF9B888">
            <w:pPr>
              <w:keepNext w:val="0"/>
              <w:keepLines w:val="0"/>
              <w:pageBreakBefore w:val="0"/>
              <w:widowControl w:val="0"/>
              <w:wordWrap/>
              <w:topLinePunct w:val="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环境监测</w:t>
            </w:r>
          </w:p>
        </w:tc>
        <w:tc>
          <w:tcPr>
            <w:tcW w:w="1406" w:type="pct"/>
            <w:noWrap w:val="0"/>
            <w:vAlign w:val="center"/>
          </w:tcPr>
          <w:p w14:paraId="29FB1413">
            <w:pPr>
              <w:keepNext w:val="0"/>
              <w:keepLines w:val="0"/>
              <w:pageBreakBefore w:val="0"/>
              <w:widowControl w:val="0"/>
              <w:wordWrap/>
              <w:topLinePunct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717" w:type="pct"/>
            <w:noWrap w:val="0"/>
            <w:vAlign w:val="center"/>
          </w:tcPr>
          <w:p w14:paraId="28A3A7C2">
            <w:pPr>
              <w:keepNext w:val="0"/>
              <w:keepLines w:val="0"/>
              <w:pageBreakBefore w:val="0"/>
              <w:widowControl w:val="0"/>
              <w:wordWrap/>
              <w:topLinePunct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345" w:type="pct"/>
            <w:noWrap w:val="0"/>
            <w:vAlign w:val="center"/>
          </w:tcPr>
          <w:p w14:paraId="5614E7F1">
            <w:pPr>
              <w:keepNext w:val="0"/>
              <w:keepLines w:val="0"/>
              <w:pageBreakBefore w:val="0"/>
              <w:widowControl w:val="0"/>
              <w:wordWrap/>
              <w:topLinePunct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根据环境监测计划开展环境监测</w:t>
            </w:r>
          </w:p>
        </w:tc>
        <w:tc>
          <w:tcPr>
            <w:tcW w:w="779" w:type="pct"/>
            <w:noWrap w:val="0"/>
            <w:vAlign w:val="center"/>
          </w:tcPr>
          <w:p w14:paraId="29E0DF15">
            <w:pPr>
              <w:keepNext w:val="0"/>
              <w:keepLines w:val="0"/>
              <w:pageBreakBefore w:val="0"/>
              <w:widowControl w:val="0"/>
              <w:wordWrap/>
              <w:topLinePunct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委托有资质的单位开展监测或者自行监测，监测记录完整</w:t>
            </w:r>
          </w:p>
        </w:tc>
      </w:tr>
      <w:tr w14:paraId="088B9C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30" w:hRule="atLeast"/>
        </w:trPr>
        <w:tc>
          <w:tcPr>
            <w:tcW w:w="750" w:type="pct"/>
            <w:noWrap w:val="0"/>
            <w:vAlign w:val="center"/>
          </w:tcPr>
          <w:p w14:paraId="0FCF8B72">
            <w:pPr>
              <w:keepNext w:val="0"/>
              <w:keepLines w:val="0"/>
              <w:pageBreakBefore w:val="0"/>
              <w:widowControl w:val="0"/>
              <w:wordWrap/>
              <w:topLinePunct w:val="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其他</w:t>
            </w:r>
          </w:p>
        </w:tc>
        <w:tc>
          <w:tcPr>
            <w:tcW w:w="1406" w:type="pct"/>
            <w:noWrap w:val="0"/>
            <w:vAlign w:val="center"/>
          </w:tcPr>
          <w:p w14:paraId="03C08E62">
            <w:pPr>
              <w:keepNext w:val="0"/>
              <w:keepLines w:val="0"/>
              <w:pageBreakBefore w:val="0"/>
              <w:widowControl w:val="0"/>
              <w:wordWrap/>
              <w:topLinePunct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717" w:type="pct"/>
            <w:noWrap w:val="0"/>
            <w:vAlign w:val="center"/>
          </w:tcPr>
          <w:p w14:paraId="0D9AC7EE">
            <w:pPr>
              <w:keepNext w:val="0"/>
              <w:keepLines w:val="0"/>
              <w:pageBreakBefore w:val="0"/>
              <w:widowControl w:val="0"/>
              <w:wordWrap/>
              <w:topLinePunct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345" w:type="pct"/>
            <w:noWrap w:val="0"/>
            <w:vAlign w:val="center"/>
          </w:tcPr>
          <w:p w14:paraId="35DF0046">
            <w:pPr>
              <w:keepNext w:val="0"/>
              <w:keepLines w:val="0"/>
              <w:pageBreakBefore w:val="0"/>
              <w:widowControl w:val="0"/>
              <w:wordWrap/>
              <w:topLinePunct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779" w:type="pct"/>
            <w:noWrap w:val="0"/>
            <w:vAlign w:val="center"/>
          </w:tcPr>
          <w:p w14:paraId="57A90BA3">
            <w:pPr>
              <w:keepNext w:val="0"/>
              <w:keepLines w:val="0"/>
              <w:pageBreakBefore w:val="0"/>
              <w:widowControl w:val="0"/>
              <w:wordWrap/>
              <w:topLinePunct w:val="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r>
    </w:tbl>
    <w:p w14:paraId="53775807">
      <w:pPr>
        <w:keepNext w:val="0"/>
        <w:keepLines w:val="0"/>
        <w:pageBreakBefore w:val="0"/>
        <w:widowControl w:val="0"/>
        <w:wordWrap/>
        <w:topLinePunct w:val="0"/>
        <w:bidi w:val="0"/>
        <w:rPr>
          <w:rFonts w:hint="default" w:ascii="Times New Roman" w:hAnsi="Times New Roman" w:cs="Times New Roman"/>
          <w:color w:val="auto"/>
          <w:highlight w:val="none"/>
        </w:rPr>
      </w:pPr>
    </w:p>
    <w:p w14:paraId="423B158E">
      <w:pPr>
        <w:keepNext w:val="0"/>
        <w:keepLines w:val="0"/>
        <w:pageBreakBefore w:val="0"/>
        <w:widowControl w:val="0"/>
        <w:wordWrap/>
        <w:topLinePunct w:val="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p>
    <w:p w14:paraId="24225498">
      <w:pPr>
        <w:pStyle w:val="16"/>
        <w:keepNext w:val="0"/>
        <w:keepLines w:val="0"/>
        <w:pageBreakBefore w:val="0"/>
        <w:widowControl w:val="0"/>
        <w:wordWrap/>
        <w:topLinePunct w:val="0"/>
        <w:bidi w:val="0"/>
        <w:spacing w:before="192" w:beforeLines="80" w:beforeAutospacing="0"/>
        <w:jc w:val="center"/>
        <w:outlineLvl w:val="0"/>
        <w:rPr>
          <w:rFonts w:hint="default" w:ascii="Times New Roman" w:hAnsi="Times New Roman" w:eastAsia="黑体" w:cs="Times New Roman"/>
          <w:snapToGrid w:val="0"/>
          <w:color w:val="auto"/>
          <w:sz w:val="30"/>
          <w:szCs w:val="30"/>
          <w:highlight w:val="none"/>
        </w:rPr>
      </w:pPr>
      <w:bookmarkStart w:id="127" w:name="_Toc24918"/>
      <w:bookmarkStart w:id="128" w:name="_Toc17387"/>
      <w:r>
        <w:rPr>
          <w:rFonts w:hint="default" w:ascii="Times New Roman" w:hAnsi="Times New Roman" w:eastAsia="黑体" w:cs="Times New Roman"/>
          <w:snapToGrid w:val="0"/>
          <w:color w:val="auto"/>
          <w:sz w:val="30"/>
          <w:szCs w:val="30"/>
          <w:highlight w:val="none"/>
        </w:rPr>
        <w:t>七、结论</w:t>
      </w:r>
      <w:bookmarkEnd w:id="127"/>
      <w:bookmarkEnd w:id="128"/>
    </w:p>
    <w:tbl>
      <w:tblPr>
        <w:tblStyle w:val="18"/>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14:paraId="1392F7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9289" w:type="dxa"/>
            <w:noWrap w:val="0"/>
            <w:vAlign w:val="top"/>
          </w:tcPr>
          <w:p w14:paraId="4F7ADA3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lang w:val="en-US" w:eastAsia="zh-CN"/>
              </w:rPr>
              <w:t>建设和运行期采取一定的预防和减缓措施后，对周围环境影响可接受。项目建设中应重视环境保护，切实落实和完善各项环保设施，加强环境管理，落实施工期环保措施和运行期电磁辐射防治工作，从</w:t>
            </w:r>
            <w:r>
              <w:rPr>
                <w:rFonts w:hint="eastAsia" w:ascii="Times New Roman" w:hAnsi="Times New Roman" w:eastAsia="宋体" w:cs="Times New Roman"/>
                <w:color w:val="auto"/>
                <w:sz w:val="24"/>
                <w:szCs w:val="24"/>
                <w:highlight w:val="none"/>
                <w:lang w:val="en-US" w:eastAsia="zh-CN"/>
              </w:rPr>
              <w:t>环境保护</w:t>
            </w:r>
            <w:r>
              <w:rPr>
                <w:rFonts w:hint="default" w:ascii="Times New Roman" w:hAnsi="Times New Roman" w:eastAsia="宋体" w:cs="Times New Roman"/>
                <w:color w:val="auto"/>
                <w:sz w:val="24"/>
                <w:szCs w:val="24"/>
                <w:highlight w:val="none"/>
                <w:lang w:val="en-US" w:eastAsia="zh-CN"/>
              </w:rPr>
              <w:t>角度出发，</w:t>
            </w:r>
            <w:r>
              <w:rPr>
                <w:rFonts w:hint="eastAsia" w:ascii="Times New Roman" w:hAnsi="Times New Roman" w:eastAsia="宋体" w:cs="Times New Roman"/>
                <w:color w:val="auto"/>
                <w:sz w:val="24"/>
                <w:szCs w:val="24"/>
                <w:highlight w:val="none"/>
                <w:lang w:val="en-US" w:eastAsia="zh-CN"/>
              </w:rPr>
              <w:t>建设项目环境影响可行</w:t>
            </w:r>
            <w:r>
              <w:rPr>
                <w:rFonts w:hint="default" w:ascii="Times New Roman" w:hAnsi="Times New Roman" w:eastAsia="宋体" w:cs="Times New Roman"/>
                <w:color w:val="auto"/>
                <w:sz w:val="24"/>
                <w:szCs w:val="24"/>
                <w:highlight w:val="none"/>
                <w:lang w:val="en-US" w:eastAsia="zh-CN"/>
              </w:rPr>
              <w:t>。</w:t>
            </w:r>
          </w:p>
          <w:p w14:paraId="19D452B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p>
          <w:p w14:paraId="36B943E2">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p>
          <w:p w14:paraId="066837ED">
            <w:pPr>
              <w:keepNext w:val="0"/>
              <w:keepLines w:val="0"/>
              <w:pageBreakBefore w:val="0"/>
              <w:widowControl w:val="0"/>
              <w:wordWrap/>
              <w:topLinePunct w:val="0"/>
              <w:bidi w:val="0"/>
              <w:rPr>
                <w:rFonts w:hint="default" w:ascii="Times New Roman" w:hAnsi="Times New Roman" w:cs="Times New Roman"/>
                <w:color w:val="auto"/>
                <w:highlight w:val="none"/>
                <w:lang w:val="en-US" w:eastAsia="zh-CN"/>
              </w:rPr>
            </w:pPr>
          </w:p>
          <w:p w14:paraId="67EBBBAB">
            <w:pPr>
              <w:keepNext w:val="0"/>
              <w:keepLines w:val="0"/>
              <w:pageBreakBefore w:val="0"/>
              <w:widowControl w:val="0"/>
              <w:wordWrap/>
              <w:topLinePunct w:val="0"/>
              <w:bidi w:val="0"/>
              <w:rPr>
                <w:rFonts w:hint="default" w:ascii="Times New Roman" w:hAnsi="Times New Roman" w:cs="Times New Roman"/>
                <w:color w:val="auto"/>
                <w:highlight w:val="none"/>
                <w:lang w:val="en-US" w:eastAsia="zh-CN"/>
              </w:rPr>
            </w:pPr>
          </w:p>
          <w:p w14:paraId="316E666C">
            <w:pPr>
              <w:keepNext w:val="0"/>
              <w:keepLines w:val="0"/>
              <w:pageBreakBefore w:val="0"/>
              <w:widowControl w:val="0"/>
              <w:wordWrap/>
              <w:topLinePunct w:val="0"/>
              <w:bidi w:val="0"/>
              <w:rPr>
                <w:rFonts w:hint="default" w:ascii="Times New Roman" w:hAnsi="Times New Roman" w:cs="Times New Roman"/>
                <w:color w:val="auto"/>
                <w:highlight w:val="none"/>
                <w:lang w:val="en-US" w:eastAsia="zh-CN"/>
              </w:rPr>
            </w:pPr>
          </w:p>
          <w:p w14:paraId="6E9BF1BE">
            <w:pPr>
              <w:keepNext w:val="0"/>
              <w:keepLines w:val="0"/>
              <w:pageBreakBefore w:val="0"/>
              <w:widowControl w:val="0"/>
              <w:wordWrap/>
              <w:topLinePunct w:val="0"/>
              <w:bidi w:val="0"/>
              <w:rPr>
                <w:rFonts w:hint="default" w:ascii="Times New Roman" w:hAnsi="Times New Roman" w:cs="Times New Roman"/>
                <w:color w:val="auto"/>
                <w:highlight w:val="none"/>
                <w:lang w:val="en-US" w:eastAsia="zh-CN"/>
              </w:rPr>
            </w:pPr>
          </w:p>
          <w:p w14:paraId="29442E9F">
            <w:pPr>
              <w:keepNext w:val="0"/>
              <w:keepLines w:val="0"/>
              <w:pageBreakBefore w:val="0"/>
              <w:widowControl w:val="0"/>
              <w:wordWrap/>
              <w:topLinePunct w:val="0"/>
              <w:bidi w:val="0"/>
              <w:jc w:val="center"/>
              <w:rPr>
                <w:rFonts w:hint="default" w:ascii="Times New Roman" w:hAnsi="Times New Roman" w:cs="Times New Roman"/>
                <w:color w:val="auto"/>
                <w:highlight w:val="none"/>
                <w:lang w:val="en-US" w:eastAsia="zh-CN"/>
              </w:rPr>
            </w:pPr>
          </w:p>
        </w:tc>
      </w:tr>
    </w:tbl>
    <w:p w14:paraId="2C72D904">
      <w:pPr>
        <w:keepNext w:val="0"/>
        <w:keepLines w:val="0"/>
        <w:pageBreakBefore w:val="0"/>
        <w:widowControl w:val="0"/>
        <w:wordWrap/>
        <w:topLinePunct w:val="0"/>
        <w:bidi w:val="0"/>
        <w:adjustRightInd w:val="0"/>
        <w:snapToGrid w:val="0"/>
        <w:spacing w:before="192" w:beforeLines="80"/>
        <w:rPr>
          <w:rFonts w:hint="default" w:ascii="Times New Roman" w:hAnsi="Times New Roman" w:cs="Times New Roman"/>
          <w:color w:val="auto"/>
          <w:highlight w:val="none"/>
        </w:rPr>
        <w:sectPr>
          <w:pgSz w:w="11906" w:h="16838"/>
          <w:pgMar w:top="1440" w:right="1800" w:bottom="1440" w:left="1800" w:header="851" w:footer="1077" w:gutter="0"/>
          <w:pgBorders>
            <w:top w:val="none" w:sz="0" w:space="0"/>
            <w:left w:val="none" w:sz="0" w:space="0"/>
            <w:bottom w:val="none" w:sz="0" w:space="0"/>
            <w:right w:val="none" w:sz="0" w:space="0"/>
          </w:pgBorders>
          <w:pgNumType w:fmt="decimal"/>
          <w:cols w:space="720" w:num="1"/>
          <w:docGrid w:linePitch="312" w:charSpace="0"/>
        </w:sectPr>
      </w:pPr>
    </w:p>
    <w:p w14:paraId="39D0936D">
      <w:pPr>
        <w:pStyle w:val="16"/>
        <w:keepNext w:val="0"/>
        <w:keepLines w:val="0"/>
        <w:pageBreakBefore w:val="0"/>
        <w:widowControl w:val="0"/>
        <w:wordWrap/>
        <w:topLinePunct w:val="0"/>
        <w:bidi w:val="0"/>
        <w:spacing w:before="192" w:beforeLines="80" w:beforeAutospacing="0"/>
        <w:jc w:val="center"/>
        <w:outlineLvl w:val="0"/>
        <w:rPr>
          <w:rFonts w:hint="default" w:ascii="Times New Roman" w:hAnsi="Times New Roman" w:eastAsia="黑体" w:cs="Times New Roman"/>
          <w:snapToGrid w:val="0"/>
          <w:color w:val="auto"/>
          <w:sz w:val="30"/>
          <w:szCs w:val="30"/>
          <w:highlight w:val="none"/>
        </w:rPr>
      </w:pPr>
      <w:bookmarkStart w:id="129" w:name="_Toc19461"/>
      <w:r>
        <w:rPr>
          <w:rFonts w:hint="default" w:ascii="Times New Roman" w:hAnsi="Times New Roman" w:eastAsia="黑体" w:cs="Times New Roman"/>
          <w:snapToGrid w:val="0"/>
          <w:color w:val="auto"/>
          <w:sz w:val="30"/>
          <w:szCs w:val="30"/>
          <w:highlight w:val="none"/>
        </w:rPr>
        <w:t>电磁环境影响专题评价</w:t>
      </w:r>
      <w:bookmarkEnd w:id="129"/>
    </w:p>
    <w:p w14:paraId="5B674167">
      <w:pPr>
        <w:pStyle w:val="2"/>
        <w:keepNext w:val="0"/>
        <w:keepLines w:val="0"/>
        <w:pageBreakBefore w:val="0"/>
        <w:widowControl w:val="0"/>
        <w:tabs>
          <w:tab w:val="left" w:pos="425"/>
        </w:tabs>
        <w:wordWrap/>
        <w:topLinePunct w:val="0"/>
        <w:bidi w:val="0"/>
        <w:spacing w:before="159" w:line="360" w:lineRule="auto"/>
        <w:rPr>
          <w:rFonts w:hint="default" w:ascii="Times New Roman" w:hAnsi="Times New Roman" w:cs="Times New Roman"/>
          <w:bCs/>
          <w:color w:val="auto"/>
          <w:highlight w:val="none"/>
        </w:rPr>
      </w:pPr>
      <w:bookmarkStart w:id="130" w:name="_Toc27138"/>
      <w:bookmarkStart w:id="131" w:name="_Toc504"/>
      <w:bookmarkStart w:id="132" w:name="_Toc9988"/>
      <w:bookmarkStart w:id="133" w:name="_Toc7191"/>
      <w:bookmarkStart w:id="134" w:name="_Toc27128"/>
      <w:bookmarkStart w:id="135" w:name="_Toc11991"/>
      <w:bookmarkStart w:id="136" w:name="_Toc32742"/>
      <w:bookmarkStart w:id="137" w:name="_Toc48914442"/>
      <w:bookmarkStart w:id="138" w:name="_Toc20624"/>
      <w:r>
        <w:rPr>
          <w:rFonts w:hint="default" w:ascii="Times New Roman" w:hAnsi="Times New Roman" w:cs="Times New Roman"/>
          <w:bCs/>
          <w:color w:val="auto"/>
          <w:highlight w:val="none"/>
        </w:rPr>
        <w:t>1总则</w:t>
      </w:r>
      <w:bookmarkEnd w:id="130"/>
      <w:bookmarkEnd w:id="131"/>
      <w:bookmarkEnd w:id="132"/>
      <w:bookmarkEnd w:id="133"/>
      <w:bookmarkEnd w:id="134"/>
      <w:bookmarkEnd w:id="135"/>
      <w:bookmarkEnd w:id="136"/>
      <w:bookmarkEnd w:id="137"/>
      <w:bookmarkEnd w:id="138"/>
    </w:p>
    <w:p w14:paraId="2E733774">
      <w:pPr>
        <w:pStyle w:val="3"/>
        <w:keepNext w:val="0"/>
        <w:keepLines w:val="0"/>
        <w:pageBreakBefore w:val="0"/>
        <w:widowControl w:val="0"/>
        <w:kinsoku/>
        <w:wordWrap/>
        <w:overflowPunct/>
        <w:topLinePunct w:val="0"/>
        <w:autoSpaceDE/>
        <w:autoSpaceDN/>
        <w:bidi w:val="0"/>
        <w:snapToGrid w:val="0"/>
        <w:spacing w:before="0" w:beforeLines="0" w:after="0" w:afterLines="0" w:line="360" w:lineRule="auto"/>
        <w:textAlignment w:val="auto"/>
        <w:rPr>
          <w:rFonts w:hint="default" w:ascii="Times New Roman" w:hAnsi="Times New Roman" w:eastAsia="宋体" w:cs="Times New Roman"/>
          <w:color w:val="auto"/>
          <w:sz w:val="28"/>
          <w:highlight w:val="none"/>
          <w:lang w:val="en-US" w:eastAsia="zh-CN"/>
        </w:rPr>
      </w:pPr>
      <w:bookmarkStart w:id="139" w:name="_Toc48914443"/>
      <w:bookmarkStart w:id="140" w:name="_Toc22624"/>
      <w:r>
        <w:rPr>
          <w:rFonts w:hint="default" w:ascii="Times New Roman" w:hAnsi="Times New Roman" w:eastAsia="宋体" w:cs="Times New Roman"/>
          <w:color w:val="auto"/>
          <w:sz w:val="28"/>
          <w:highlight w:val="none"/>
        </w:rPr>
        <w:t>1.1项目</w:t>
      </w:r>
      <w:bookmarkEnd w:id="139"/>
      <w:bookmarkEnd w:id="140"/>
      <w:r>
        <w:rPr>
          <w:rFonts w:hint="default" w:ascii="Times New Roman" w:hAnsi="Times New Roman" w:eastAsia="宋体" w:cs="Times New Roman"/>
          <w:color w:val="auto"/>
          <w:sz w:val="28"/>
          <w:highlight w:val="none"/>
          <w:lang w:val="en-US" w:eastAsia="zh-CN"/>
        </w:rPr>
        <w:t>建设内容</w:t>
      </w:r>
    </w:p>
    <w:p w14:paraId="408AAD42">
      <w:pPr>
        <w:keepNext w:val="0"/>
        <w:keepLines w:val="0"/>
        <w:pageBreakBefore w:val="0"/>
        <w:widowControl w:val="0"/>
        <w:numPr>
          <w:ilvl w:val="0"/>
          <w:numId w:val="0"/>
        </w:numPr>
        <w:wordWrap/>
        <w:topLinePunct w:val="0"/>
        <w:bidi w:val="0"/>
        <w:spacing w:line="360" w:lineRule="auto"/>
        <w:ind w:firstLine="480"/>
        <w:jc w:val="both"/>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储能电站围墙内面积为91134m</w:t>
      </w:r>
      <w:r>
        <w:rPr>
          <w:rFonts w:hint="eastAsia" w:ascii="Times New Roman" w:hAnsi="Times New Roman" w:eastAsia="宋体" w:cs="Times New Roman"/>
          <w:bCs/>
          <w:color w:val="auto"/>
          <w:sz w:val="24"/>
          <w:szCs w:val="24"/>
          <w:highlight w:val="none"/>
          <w:vertAlign w:val="superscript"/>
          <w:lang w:val="en-US" w:eastAsia="zh-CN"/>
        </w:rPr>
        <w:t>2</w:t>
      </w:r>
      <w:r>
        <w:rPr>
          <w:rFonts w:hint="eastAsia" w:ascii="Times New Roman" w:hAnsi="Times New Roman" w:eastAsia="宋体" w:cs="Times New Roman"/>
          <w:bCs/>
          <w:color w:val="auto"/>
          <w:sz w:val="24"/>
          <w:szCs w:val="24"/>
          <w:highlight w:val="none"/>
          <w:lang w:val="en-US" w:eastAsia="zh-CN"/>
        </w:rPr>
        <w:t>，分为两个区域，南侧为220kV升压站区域，北侧为储能设备区。</w:t>
      </w:r>
    </w:p>
    <w:p w14:paraId="510F4DD5">
      <w:pPr>
        <w:keepNext w:val="0"/>
        <w:keepLines w:val="0"/>
        <w:pageBreakBefore w:val="0"/>
        <w:widowControl w:val="0"/>
        <w:numPr>
          <w:ilvl w:val="0"/>
          <w:numId w:val="0"/>
        </w:numPr>
        <w:wordWrap/>
        <w:topLinePunct w:val="0"/>
        <w:bidi w:val="0"/>
        <w:spacing w:line="360" w:lineRule="auto"/>
        <w:ind w:firstLine="480"/>
        <w:jc w:val="both"/>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（1）升压站区</w:t>
      </w:r>
    </w:p>
    <w:p w14:paraId="6CABCE7A">
      <w:pPr>
        <w:keepNext w:val="0"/>
        <w:keepLines w:val="0"/>
        <w:pageBreakBefore w:val="0"/>
        <w:widowControl w:val="0"/>
        <w:numPr>
          <w:ilvl w:val="0"/>
          <w:numId w:val="0"/>
        </w:numPr>
        <w:wordWrap/>
        <w:topLinePunct w:val="0"/>
        <w:bidi w:val="0"/>
        <w:spacing w:line="360" w:lineRule="auto"/>
        <w:ind w:firstLine="480"/>
        <w:jc w:val="both"/>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220kV升压站区域</w:t>
      </w:r>
      <w:r>
        <w:rPr>
          <w:rFonts w:hint="default" w:ascii="Times New Roman" w:hAnsi="Times New Roman" w:eastAsia="宋体" w:cs="Times New Roman"/>
          <w:bCs/>
          <w:color w:val="auto"/>
          <w:sz w:val="24"/>
          <w:szCs w:val="24"/>
          <w:highlight w:val="none"/>
          <w:lang w:val="en-US" w:eastAsia="zh-CN"/>
        </w:rPr>
        <w:t>新建</w:t>
      </w:r>
      <w:r>
        <w:rPr>
          <w:rFonts w:hint="eastAsia" w:ascii="Times New Roman" w:hAnsi="Times New Roman" w:eastAsia="宋体" w:cs="Times New Roman"/>
          <w:bCs/>
          <w:color w:val="auto"/>
          <w:sz w:val="24"/>
          <w:szCs w:val="24"/>
          <w:highlight w:val="none"/>
          <w:lang w:val="en-US" w:eastAsia="zh-CN"/>
        </w:rPr>
        <w:t>2</w:t>
      </w:r>
      <w:r>
        <w:rPr>
          <w:rFonts w:hint="default" w:ascii="Times New Roman" w:hAnsi="Times New Roman" w:eastAsia="宋体" w:cs="Times New Roman"/>
          <w:bCs/>
          <w:color w:val="auto"/>
          <w:sz w:val="24"/>
          <w:szCs w:val="24"/>
          <w:highlight w:val="none"/>
          <w:lang w:val="en-US" w:eastAsia="zh-CN"/>
        </w:rPr>
        <w:t>台</w:t>
      </w:r>
      <w:r>
        <w:rPr>
          <w:rFonts w:hint="eastAsia" w:ascii="Times New Roman" w:hAnsi="Times New Roman" w:eastAsia="宋体" w:cs="Times New Roman"/>
          <w:bCs/>
          <w:color w:val="auto"/>
          <w:sz w:val="24"/>
          <w:szCs w:val="24"/>
          <w:highlight w:val="none"/>
          <w:lang w:val="en-US" w:eastAsia="zh-CN"/>
        </w:rPr>
        <w:t>240</w:t>
      </w:r>
      <w:r>
        <w:rPr>
          <w:rFonts w:hint="default" w:ascii="Times New Roman" w:hAnsi="Times New Roman" w:eastAsia="宋体" w:cs="Times New Roman"/>
          <w:bCs/>
          <w:color w:val="auto"/>
          <w:sz w:val="24"/>
          <w:szCs w:val="24"/>
          <w:highlight w:val="none"/>
          <w:lang w:val="en-US" w:eastAsia="zh-CN"/>
        </w:rPr>
        <w:t>MVA主变</w:t>
      </w:r>
      <w:r>
        <w:rPr>
          <w:rFonts w:hint="eastAsia" w:ascii="Times New Roman" w:hAnsi="Times New Roman" w:eastAsia="宋体" w:cs="Times New Roman"/>
          <w:bCs/>
          <w:color w:val="auto"/>
          <w:sz w:val="24"/>
          <w:szCs w:val="24"/>
          <w:highlight w:val="none"/>
          <w:lang w:val="en-US" w:eastAsia="zh-CN"/>
        </w:rPr>
        <w:t>，配套建设有电气预制舱、GIS构架、SVG、站用变、接地变、备用变以及办公生活区。</w:t>
      </w:r>
    </w:p>
    <w:p w14:paraId="6CFCC414">
      <w:pPr>
        <w:keepNext w:val="0"/>
        <w:keepLines w:val="0"/>
        <w:pageBreakBefore w:val="0"/>
        <w:widowControl w:val="0"/>
        <w:numPr>
          <w:ilvl w:val="0"/>
          <w:numId w:val="0"/>
        </w:numPr>
        <w:wordWrap/>
        <w:topLinePunct w:val="0"/>
        <w:bidi w:val="0"/>
        <w:spacing w:line="360" w:lineRule="auto"/>
        <w:ind w:firstLine="480"/>
        <w:jc w:val="both"/>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（2）储能区</w:t>
      </w:r>
    </w:p>
    <w:p w14:paraId="00767F97">
      <w:pPr>
        <w:keepNext w:val="0"/>
        <w:keepLines w:val="0"/>
        <w:pageBreakBefore w:val="0"/>
        <w:widowControl w:val="0"/>
        <w:numPr>
          <w:ilvl w:val="0"/>
          <w:numId w:val="0"/>
        </w:numPr>
        <w:wordWrap/>
        <w:topLinePunct w:val="0"/>
        <w:bidi w:val="0"/>
        <w:spacing w:line="360" w:lineRule="auto"/>
        <w:ind w:firstLine="480"/>
        <w:jc w:val="both"/>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储能设备区装机容量为400MW/1600MWh，采用370MW/1484.44MWh磷酸铁锂电池、6MW/21.9MWh钠离子电池以及24MW/96MWh全钒液流电池，包含74套磷酸铁锂储能单元（内含74台储能电控舱和296台储能电池舱）和3套钠离子电池储能单元（内含3台储能电控舱和6台储能电池舱），储能区域最北布置有全钒液储能室。储能系统以17回35kV集电线路（包括15回磷酸铁锂电池储能回路、1回钠离子电池储能回路、1回全钒液流电池储能回路）接入升压站内35kV配电装置。</w:t>
      </w:r>
    </w:p>
    <w:p w14:paraId="33BB377A">
      <w:pPr>
        <w:pStyle w:val="3"/>
        <w:keepNext w:val="0"/>
        <w:keepLines w:val="0"/>
        <w:pageBreakBefore w:val="0"/>
        <w:widowControl w:val="0"/>
        <w:kinsoku/>
        <w:wordWrap/>
        <w:overflowPunct/>
        <w:topLinePunct w:val="0"/>
        <w:autoSpaceDE/>
        <w:autoSpaceDN/>
        <w:bidi w:val="0"/>
        <w:snapToGrid w:val="0"/>
        <w:spacing w:before="0" w:beforeLines="0" w:after="0" w:afterLines="0" w:line="360" w:lineRule="auto"/>
        <w:textAlignment w:val="auto"/>
        <w:rPr>
          <w:rFonts w:hint="default" w:ascii="Times New Roman" w:hAnsi="Times New Roman" w:eastAsia="宋体" w:cs="Times New Roman"/>
          <w:color w:val="auto"/>
          <w:sz w:val="28"/>
          <w:highlight w:val="none"/>
        </w:rPr>
      </w:pPr>
      <w:bookmarkStart w:id="141" w:name="_Toc48914444"/>
      <w:bookmarkStart w:id="142" w:name="_Toc20519"/>
      <w:r>
        <w:rPr>
          <w:rFonts w:hint="default" w:ascii="Times New Roman" w:hAnsi="Times New Roman" w:eastAsia="宋体" w:cs="Times New Roman"/>
          <w:color w:val="auto"/>
          <w:sz w:val="28"/>
          <w:highlight w:val="none"/>
        </w:rPr>
        <w:t>1.2评价目的</w:t>
      </w:r>
      <w:bookmarkEnd w:id="141"/>
      <w:bookmarkEnd w:id="142"/>
    </w:p>
    <w:p w14:paraId="4DA21E22">
      <w:pPr>
        <w:keepNext w:val="0"/>
        <w:keepLines w:val="0"/>
        <w:pageBreakBefore w:val="0"/>
        <w:widowControl w:val="0"/>
        <w:wordWrap/>
        <w:topLinePunct w:val="0"/>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bookmarkStart w:id="143" w:name="_Toc48914445"/>
      <w:bookmarkStart w:id="144" w:name="_Toc9586"/>
      <w:r>
        <w:rPr>
          <w:rFonts w:hint="default" w:ascii="Times New Roman" w:hAnsi="Times New Roman" w:eastAsia="宋体" w:cs="Times New Roman"/>
          <w:color w:val="auto"/>
          <w:sz w:val="24"/>
          <w:highlight w:val="none"/>
          <w:lang w:val="en-US" w:eastAsia="zh-CN"/>
        </w:rPr>
        <w:t>根据《中华人民共和国环境影响评价法》《建设项目环境保护管理条例》及《建设项目环境影响评价分类管理名录（2021年版）》的有关要求，为切实做好项目的环境保护工作，使输变电事业与环境保护协调发展，控制电磁环境污染、避害扬利、保障公众健康，因此建设单位委托我单位承担建设项目的电磁环境影响评价工作，分析说明建设项目建设运行后电磁环境影响的情况。</w:t>
      </w:r>
    </w:p>
    <w:p w14:paraId="63E5CACC">
      <w:pPr>
        <w:pStyle w:val="3"/>
        <w:keepNext w:val="0"/>
        <w:keepLines w:val="0"/>
        <w:pageBreakBefore w:val="0"/>
        <w:widowControl w:val="0"/>
        <w:kinsoku/>
        <w:wordWrap/>
        <w:overflowPunct/>
        <w:topLinePunct w:val="0"/>
        <w:autoSpaceDE/>
        <w:autoSpaceDN/>
        <w:bidi w:val="0"/>
        <w:snapToGrid w:val="0"/>
        <w:spacing w:before="0" w:beforeLines="0" w:after="0" w:afterLines="0" w:line="360" w:lineRule="auto"/>
        <w:textAlignment w:val="auto"/>
        <w:rPr>
          <w:rFonts w:hint="default" w:ascii="Times New Roman" w:hAnsi="Times New Roman" w:eastAsia="宋体" w:cs="Times New Roman"/>
          <w:color w:val="auto"/>
          <w:sz w:val="28"/>
          <w:highlight w:val="none"/>
        </w:rPr>
      </w:pPr>
      <w:r>
        <w:rPr>
          <w:rFonts w:hint="default" w:ascii="Times New Roman" w:hAnsi="Times New Roman" w:eastAsia="宋体" w:cs="Times New Roman"/>
          <w:color w:val="auto"/>
          <w:sz w:val="28"/>
          <w:highlight w:val="none"/>
        </w:rPr>
        <w:t>1.3评价依据</w:t>
      </w:r>
      <w:bookmarkEnd w:id="143"/>
      <w:bookmarkEnd w:id="144"/>
    </w:p>
    <w:p w14:paraId="7C32B5A7">
      <w:pPr>
        <w:pStyle w:val="4"/>
        <w:keepNext w:val="0"/>
        <w:keepLines w:val="0"/>
        <w:pageBreakBefore w:val="0"/>
        <w:widowControl w:val="0"/>
        <w:numPr>
          <w:ilvl w:val="0"/>
          <w:numId w:val="0"/>
        </w:numPr>
        <w:kinsoku/>
        <w:wordWrap/>
        <w:overflowPunct/>
        <w:topLinePunct w:val="0"/>
        <w:autoSpaceDE/>
        <w:autoSpaceDN/>
        <w:bidi w:val="0"/>
        <w:spacing w:before="0" w:after="0" w:line="360" w:lineRule="auto"/>
        <w:ind w:leftChars="0"/>
        <w:textAlignment w:val="auto"/>
        <w:rPr>
          <w:rFonts w:hint="default" w:ascii="Times New Roman" w:hAnsi="Times New Roman" w:cs="Times New Roman"/>
          <w:color w:val="auto"/>
          <w:highlight w:val="none"/>
          <w:lang w:val="en-US"/>
        </w:rPr>
      </w:pPr>
      <w:bookmarkStart w:id="145" w:name="_Toc17656"/>
      <w:bookmarkStart w:id="146" w:name="_Toc513746282"/>
      <w:bookmarkStart w:id="147" w:name="_Toc3868"/>
      <w:bookmarkStart w:id="148" w:name="_Toc48914446"/>
      <w:r>
        <w:rPr>
          <w:rFonts w:hint="default" w:ascii="Times New Roman" w:hAnsi="Times New Roman" w:cs="Times New Roman"/>
          <w:color w:val="auto"/>
          <w:highlight w:val="none"/>
        </w:rPr>
        <w:t>1.3.1国家法律、法规及</w:t>
      </w:r>
      <w:bookmarkEnd w:id="145"/>
      <w:bookmarkEnd w:id="146"/>
      <w:bookmarkEnd w:id="147"/>
      <w:bookmarkEnd w:id="148"/>
      <w:r>
        <w:rPr>
          <w:rFonts w:hint="default" w:ascii="Times New Roman" w:hAnsi="Times New Roman" w:cs="Times New Roman"/>
          <w:color w:val="auto"/>
          <w:highlight w:val="none"/>
          <w:lang w:val="en-US" w:eastAsia="zh-CN"/>
        </w:rPr>
        <w:t>政策性文件</w:t>
      </w:r>
    </w:p>
    <w:p w14:paraId="701A4E87">
      <w:pPr>
        <w:keepNext w:val="0"/>
        <w:keepLines w:val="0"/>
        <w:pageBreakBefore w:val="0"/>
        <w:widowControl w:val="0"/>
        <w:wordWrap/>
        <w:topLinePunct w:val="0"/>
        <w:autoSpaceDE w:val="0"/>
        <w:autoSpaceDN w:val="0"/>
        <w:bidi w:val="0"/>
        <w:adjustRightInd w:val="0"/>
        <w:snapToGrid w:val="0"/>
        <w:spacing w:line="360" w:lineRule="auto"/>
        <w:ind w:firstLine="456" w:firstLineChars="200"/>
        <w:rPr>
          <w:rFonts w:hint="default" w:ascii="Times New Roman" w:hAnsi="Times New Roman" w:eastAsia="宋体" w:cs="Times New Roman"/>
          <w:color w:val="auto"/>
          <w:spacing w:val="-6"/>
          <w:sz w:val="24"/>
          <w:highlight w:val="none"/>
          <w:lang w:val="en-US" w:eastAsia="zh-CN"/>
        </w:rPr>
      </w:pPr>
      <w:bookmarkStart w:id="149" w:name="_Toc813"/>
      <w:bookmarkStart w:id="150" w:name="_Toc513746283"/>
      <w:bookmarkStart w:id="151" w:name="_Toc30506"/>
      <w:bookmarkStart w:id="152" w:name="_Toc48914447"/>
      <w:r>
        <w:rPr>
          <w:rFonts w:hint="default" w:ascii="Times New Roman" w:hAnsi="Times New Roman" w:eastAsia="宋体" w:cs="Times New Roman"/>
          <w:color w:val="auto"/>
          <w:spacing w:val="-6"/>
          <w:sz w:val="24"/>
          <w:highlight w:val="none"/>
          <w:lang w:val="en-US" w:eastAsia="zh-CN"/>
        </w:rPr>
        <w:t>(1)《中华人民共和国环境保护法》(2014年4</w:t>
      </w:r>
      <w:r>
        <w:rPr>
          <w:rFonts w:hint="default" w:ascii="Times New Roman" w:hAnsi="Times New Roman" w:eastAsia="宋体" w:cs="Times New Roman"/>
          <w:color w:val="auto"/>
          <w:spacing w:val="-6"/>
          <w:sz w:val="24"/>
          <w:szCs w:val="24"/>
          <w:highlight w:val="none"/>
          <w:lang w:val="en-US" w:eastAsia="zh-CN"/>
        </w:rPr>
        <w:t>月24日</w:t>
      </w:r>
      <w:r>
        <w:rPr>
          <w:rFonts w:hint="eastAsia" w:ascii="Times New Roman" w:hAnsi="Times New Roman" w:eastAsia="宋体" w:cs="Times New Roman"/>
          <w:sz w:val="24"/>
          <w:szCs w:val="24"/>
          <w:lang w:val="en-US" w:eastAsia="zh-CN"/>
        </w:rPr>
        <w:t>修订</w:t>
      </w:r>
      <w:r>
        <w:rPr>
          <w:rFonts w:hint="default" w:ascii="Times New Roman" w:hAnsi="Times New Roman" w:eastAsia="宋体" w:cs="Times New Roman"/>
          <w:color w:val="auto"/>
          <w:spacing w:val="-6"/>
          <w:sz w:val="24"/>
          <w:szCs w:val="24"/>
          <w:highlight w:val="none"/>
          <w:lang w:val="en-US" w:eastAsia="zh-CN"/>
        </w:rPr>
        <w:t>，2015年1月1日起</w:t>
      </w:r>
      <w:r>
        <w:rPr>
          <w:rFonts w:hint="default" w:ascii="Times New Roman" w:hAnsi="Times New Roman" w:eastAsia="宋体" w:cs="Times New Roman"/>
          <w:color w:val="auto"/>
          <w:spacing w:val="-6"/>
          <w:sz w:val="24"/>
          <w:highlight w:val="none"/>
          <w:lang w:val="en-US" w:eastAsia="zh-CN"/>
        </w:rPr>
        <w:t>施行)；</w:t>
      </w:r>
    </w:p>
    <w:p w14:paraId="2F01B21E">
      <w:pPr>
        <w:keepNext w:val="0"/>
        <w:keepLines w:val="0"/>
        <w:pageBreakBefore w:val="0"/>
        <w:widowControl w:val="0"/>
        <w:wordWrap/>
        <w:topLinePunct w:val="0"/>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(2)《中华人民共和国环境影响评价法》(2018年12月29日修正并施行)；</w:t>
      </w:r>
    </w:p>
    <w:p w14:paraId="521F23E6">
      <w:pPr>
        <w:keepNext w:val="0"/>
        <w:keepLines w:val="0"/>
        <w:pageBreakBefore w:val="0"/>
        <w:widowControl w:val="0"/>
        <w:wordWrap/>
        <w:topLinePunct w:val="0"/>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(3)《中华人民共和国电力法》（2018年12月29日修正）；</w:t>
      </w:r>
    </w:p>
    <w:p w14:paraId="0A45954C">
      <w:pPr>
        <w:keepNext w:val="0"/>
        <w:keepLines w:val="0"/>
        <w:pageBreakBefore w:val="0"/>
        <w:widowControl w:val="0"/>
        <w:wordWrap/>
        <w:topLinePunct w:val="0"/>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(4)《建设项目环境保护管理条例》(国务院令第682号，2017年10月1日起施行)；</w:t>
      </w:r>
    </w:p>
    <w:p w14:paraId="43D8CFB2">
      <w:pPr>
        <w:keepNext w:val="0"/>
        <w:keepLines w:val="0"/>
        <w:pageBreakBefore w:val="0"/>
        <w:widowControl w:val="0"/>
        <w:wordWrap/>
        <w:topLinePunct w:val="0"/>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(5)《建设项目环境影响评价分类管理名录(2021年版)》；</w:t>
      </w:r>
    </w:p>
    <w:p w14:paraId="723F1B1A">
      <w:pPr>
        <w:keepNext w:val="0"/>
        <w:keepLines w:val="0"/>
        <w:pageBreakBefore w:val="0"/>
        <w:widowControl w:val="0"/>
        <w:wordWrap/>
        <w:topLinePunct w:val="0"/>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(6)《电力设施保护条例》（2011年1月8日修订并实施）；</w:t>
      </w:r>
    </w:p>
    <w:p w14:paraId="47A08B76">
      <w:pPr>
        <w:keepNext w:val="0"/>
        <w:keepLines w:val="0"/>
        <w:pageBreakBefore w:val="0"/>
        <w:widowControl w:val="0"/>
        <w:wordWrap/>
        <w:topLinePunct w:val="0"/>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(7)《关于进一步加强环境影响评价管理防范环境风险的通知》(环发[2012]77号，2012年7月3日起施行)；</w:t>
      </w:r>
    </w:p>
    <w:p w14:paraId="471157D1">
      <w:pPr>
        <w:keepNext w:val="0"/>
        <w:keepLines w:val="0"/>
        <w:pageBreakBefore w:val="0"/>
        <w:widowControl w:val="0"/>
        <w:wordWrap/>
        <w:topLinePunct w:val="0"/>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(8)《产业结构调整指导目录(2019年本)》(2021年修改)；</w:t>
      </w:r>
    </w:p>
    <w:p w14:paraId="2FF867B7">
      <w:pPr>
        <w:keepNext w:val="0"/>
        <w:keepLines w:val="0"/>
        <w:pageBreakBefore w:val="0"/>
        <w:widowControl w:val="0"/>
        <w:wordWrap/>
        <w:topLinePunct w:val="0"/>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(9)《关于进一步加强输变电类建设项目环境保护监管工作的通知》(环办[2012]131号，2012年10月26日起施行)；</w:t>
      </w:r>
    </w:p>
    <w:p w14:paraId="6F74CEA6">
      <w:pPr>
        <w:keepNext w:val="0"/>
        <w:keepLines w:val="0"/>
        <w:pageBreakBefore w:val="0"/>
        <w:widowControl w:val="0"/>
        <w:wordWrap/>
        <w:topLinePunct w:val="0"/>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(10)《输变电建设项目环境保护技术要求》(HJ1113-2020)；</w:t>
      </w:r>
    </w:p>
    <w:p w14:paraId="5F94DC20">
      <w:pPr>
        <w:keepNext w:val="0"/>
        <w:keepLines w:val="0"/>
        <w:pageBreakBefore w:val="0"/>
        <w:widowControl w:val="0"/>
        <w:wordWrap/>
        <w:topLinePunct w:val="0"/>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(11)《新疆维吾尔自治区环境保护条例》(2018年9月21日修订并实施)；</w:t>
      </w:r>
    </w:p>
    <w:p w14:paraId="794752D9">
      <w:pPr>
        <w:keepNext w:val="0"/>
        <w:keepLines w:val="0"/>
        <w:pageBreakBefore w:val="0"/>
        <w:widowControl w:val="0"/>
        <w:wordWrap/>
        <w:topLinePunct w:val="0"/>
        <w:autoSpaceDE w:val="0"/>
        <w:autoSpaceDN w:val="0"/>
        <w:bidi w:val="0"/>
        <w:adjustRightInd w:val="0"/>
        <w:snapToGrid w:val="0"/>
        <w:spacing w:line="360" w:lineRule="auto"/>
        <w:ind w:firstLine="456" w:firstLineChars="200"/>
        <w:rPr>
          <w:rFonts w:hint="default" w:ascii="Times New Roman" w:hAnsi="Times New Roman" w:eastAsia="宋体" w:cs="Times New Roman"/>
          <w:color w:val="auto"/>
          <w:spacing w:val="-6"/>
          <w:sz w:val="24"/>
          <w:highlight w:val="none"/>
          <w:lang w:val="en-US" w:eastAsia="zh-CN"/>
        </w:rPr>
      </w:pPr>
      <w:r>
        <w:rPr>
          <w:rFonts w:hint="default" w:ascii="Times New Roman" w:hAnsi="Times New Roman" w:eastAsia="宋体" w:cs="Times New Roman"/>
          <w:color w:val="auto"/>
          <w:spacing w:val="-6"/>
          <w:sz w:val="24"/>
          <w:highlight w:val="none"/>
          <w:lang w:val="en-US" w:eastAsia="zh-CN"/>
        </w:rPr>
        <w:t>(12)《新疆维吾尔自治区辐射污染防治办法》(政府令192号，2015年7月1日施行)。</w:t>
      </w:r>
    </w:p>
    <w:p w14:paraId="0B9A6D4C">
      <w:pPr>
        <w:pStyle w:val="4"/>
        <w:keepNext w:val="0"/>
        <w:keepLines w:val="0"/>
        <w:pageBreakBefore w:val="0"/>
        <w:widowControl w:val="0"/>
        <w:numPr>
          <w:ilvl w:val="2"/>
          <w:numId w:val="0"/>
        </w:numPr>
        <w:wordWrap/>
        <w:topLinePunct w:val="0"/>
        <w:bidi w:val="0"/>
        <w:spacing w:line="360" w:lineRule="auto"/>
        <w:ind w:left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1.3.2相关技术规范、导则</w:t>
      </w:r>
      <w:bookmarkEnd w:id="149"/>
      <w:bookmarkEnd w:id="150"/>
      <w:bookmarkEnd w:id="151"/>
      <w:bookmarkEnd w:id="152"/>
    </w:p>
    <w:p w14:paraId="505180AA">
      <w:pPr>
        <w:keepNext w:val="0"/>
        <w:keepLines w:val="0"/>
        <w:pageBreakBefore w:val="0"/>
        <w:widowControl w:val="0"/>
        <w:wordWrap/>
        <w:topLinePunct w:val="0"/>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bookmarkStart w:id="153" w:name="_Toc48914448"/>
      <w:bookmarkStart w:id="154" w:name="_Toc27346"/>
      <w:bookmarkStart w:id="155" w:name="_Toc513746284"/>
      <w:bookmarkStart w:id="156" w:name="_Toc23715"/>
      <w:r>
        <w:rPr>
          <w:rFonts w:hint="default" w:ascii="Times New Roman" w:hAnsi="Times New Roman" w:eastAsia="宋体" w:cs="Times New Roman"/>
          <w:color w:val="auto"/>
          <w:sz w:val="24"/>
          <w:highlight w:val="none"/>
          <w:lang w:val="en-US" w:eastAsia="zh-CN"/>
        </w:rPr>
        <w:t>（1）《建设项目环境影响评价技术导则</w:t>
      </w:r>
      <w:r>
        <w:rPr>
          <w:rFonts w:hint="eastAsia"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lang w:val="en-US" w:eastAsia="zh-CN"/>
        </w:rPr>
        <w:t>总纲》(HJ2.1-2016)；</w:t>
      </w:r>
    </w:p>
    <w:p w14:paraId="771B6E10">
      <w:pPr>
        <w:keepNext w:val="0"/>
        <w:keepLines w:val="0"/>
        <w:pageBreakBefore w:val="0"/>
        <w:widowControl w:val="0"/>
        <w:wordWrap/>
        <w:topLinePunct w:val="0"/>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（2）《环境影响评价技术导则 输变电》(HJ24-2020)；</w:t>
      </w:r>
    </w:p>
    <w:p w14:paraId="2F56640D">
      <w:pPr>
        <w:keepNext w:val="0"/>
        <w:keepLines w:val="0"/>
        <w:pageBreakBefore w:val="0"/>
        <w:widowControl w:val="0"/>
        <w:wordWrap/>
        <w:topLinePunct w:val="0"/>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（3）《电磁环境控制限值》(GB8702-2014)；</w:t>
      </w:r>
    </w:p>
    <w:p w14:paraId="5849C7C2">
      <w:pPr>
        <w:keepNext w:val="0"/>
        <w:keepLines w:val="0"/>
        <w:pageBreakBefore w:val="0"/>
        <w:widowControl w:val="0"/>
        <w:wordWrap/>
        <w:topLinePunct w:val="0"/>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（4）《交流输变电工程电磁环境监测方法(试行)》(HJ681-2013)；</w:t>
      </w:r>
    </w:p>
    <w:p w14:paraId="0D19048E">
      <w:pPr>
        <w:keepNext w:val="0"/>
        <w:keepLines w:val="0"/>
        <w:pageBreakBefore w:val="0"/>
        <w:widowControl w:val="0"/>
        <w:wordWrap/>
        <w:topLinePunct w:val="0"/>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（5）《输变电工程电磁环境监测技术规范》(DL/T334-2021)；</w:t>
      </w:r>
    </w:p>
    <w:p w14:paraId="6470F4C5">
      <w:pPr>
        <w:keepNext w:val="0"/>
        <w:keepLines w:val="0"/>
        <w:pageBreakBefore w:val="0"/>
        <w:widowControl w:val="0"/>
        <w:wordWrap/>
        <w:topLinePunct w:val="0"/>
        <w:autoSpaceDE w:val="0"/>
        <w:autoSpaceDN w:val="0"/>
        <w:bidi w:val="0"/>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（6）《辐射环境保护管理导则 电磁辐射环境影响评价方法与标准》（HJ/T 10.3-1996）</w:t>
      </w:r>
      <w:r>
        <w:rPr>
          <w:rFonts w:hint="eastAsia" w:ascii="Times New Roman" w:hAnsi="Times New Roman" w:eastAsia="宋体" w:cs="Times New Roman"/>
          <w:color w:val="auto"/>
          <w:sz w:val="24"/>
          <w:highlight w:val="none"/>
          <w:lang w:val="en-US" w:eastAsia="zh-CN"/>
        </w:rPr>
        <w:t>；</w:t>
      </w:r>
    </w:p>
    <w:p w14:paraId="23F62DAC">
      <w:pPr>
        <w:keepNext w:val="0"/>
        <w:keepLines w:val="0"/>
        <w:pageBreakBefore w:val="0"/>
        <w:widowControl w:val="0"/>
        <w:wordWrap/>
        <w:topLinePunct w:val="0"/>
        <w:autoSpaceDE w:val="0"/>
        <w:autoSpaceDN w:val="0"/>
        <w:bidi w:val="0"/>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（7）《输变电建设项目环境保护技术要求》（HJ1113-2020）；</w:t>
      </w:r>
    </w:p>
    <w:p w14:paraId="617BC09E">
      <w:pPr>
        <w:keepNext w:val="0"/>
        <w:keepLines w:val="0"/>
        <w:pageBreakBefore w:val="0"/>
        <w:widowControl w:val="0"/>
        <w:wordWrap/>
        <w:topLinePunct w:val="0"/>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lang w:val="en-US" w:eastAsia="zh-CN"/>
        </w:rPr>
        <w:t>建设项目竣工环境保护验收技术规范 输变电</w:t>
      </w:r>
      <w:r>
        <w:rPr>
          <w:rFonts w:hint="eastAsia" w:ascii="Times New Roman" w:hAnsi="Times New Roman" w:eastAsia="宋体" w:cs="Times New Roman"/>
          <w:color w:val="auto"/>
          <w:sz w:val="24"/>
          <w:highlight w:val="none"/>
          <w:lang w:val="en-US" w:eastAsia="zh-CN"/>
        </w:rPr>
        <w:t>》（HJ705-2020）。</w:t>
      </w:r>
    </w:p>
    <w:p w14:paraId="224E6CE3">
      <w:pPr>
        <w:pStyle w:val="4"/>
        <w:keepNext w:val="0"/>
        <w:keepLines w:val="0"/>
        <w:pageBreakBefore w:val="0"/>
        <w:widowControl w:val="0"/>
        <w:numPr>
          <w:ilvl w:val="2"/>
          <w:numId w:val="0"/>
        </w:numPr>
        <w:wordWrap/>
        <w:topLinePunct w:val="0"/>
        <w:bidi w:val="0"/>
        <w:spacing w:line="360" w:lineRule="auto"/>
        <w:ind w:left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1.3.3 技术文件和技术资料</w:t>
      </w:r>
      <w:bookmarkEnd w:id="153"/>
      <w:bookmarkEnd w:id="154"/>
      <w:bookmarkEnd w:id="155"/>
      <w:bookmarkEnd w:id="156"/>
    </w:p>
    <w:p w14:paraId="30B74F3A">
      <w:pPr>
        <w:keepNext w:val="0"/>
        <w:keepLines w:val="0"/>
        <w:pageBreakBefore w:val="0"/>
        <w:widowControl w:val="0"/>
        <w:wordWrap/>
        <w:topLinePunct w:val="0"/>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bookmarkStart w:id="157" w:name="_Toc31634"/>
      <w:r>
        <w:rPr>
          <w:rFonts w:hint="eastAsia"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 xml:space="preserve"> 《</w:t>
      </w:r>
      <w:r>
        <w:rPr>
          <w:rFonts w:hint="eastAsia" w:eastAsia="宋体" w:cs="Times New Roman"/>
          <w:color w:val="auto"/>
          <w:sz w:val="24"/>
          <w:szCs w:val="24"/>
          <w:highlight w:val="none"/>
          <w:lang w:val="en-US" w:eastAsia="zh-CN"/>
        </w:rPr>
        <w:t>新疆甘泉堡400MW/1600MWh混合电化学共享储能项目可行性研究报告</w:t>
      </w:r>
      <w:r>
        <w:rPr>
          <w:rFonts w:hint="default" w:ascii="Times New Roman" w:hAnsi="Times New Roman" w:eastAsia="宋体" w:cs="Times New Roman"/>
          <w:color w:val="auto"/>
          <w:sz w:val="24"/>
          <w:szCs w:val="24"/>
          <w:highlight w:val="none"/>
          <w:lang w:val="en-US" w:eastAsia="zh-CN"/>
        </w:rPr>
        <w:t>》（</w:t>
      </w:r>
      <w:r>
        <w:rPr>
          <w:rFonts w:hint="eastAsia" w:eastAsia="宋体" w:cs="Times New Roman"/>
          <w:color w:val="auto"/>
          <w:sz w:val="24"/>
          <w:szCs w:val="24"/>
          <w:highlight w:val="none"/>
          <w:lang w:val="en-US" w:eastAsia="zh-CN"/>
        </w:rPr>
        <w:t>中国能源建设集团湖南省电力设计院有限公司，2024.5</w:t>
      </w:r>
      <w:r>
        <w:rPr>
          <w:rFonts w:hint="default" w:ascii="Times New Roman" w:hAnsi="Times New Roman" w:eastAsia="宋体" w:cs="Times New Roman"/>
          <w:color w:val="auto"/>
          <w:sz w:val="24"/>
          <w:szCs w:val="24"/>
          <w:highlight w:val="none"/>
          <w:lang w:val="en-US" w:eastAsia="zh-CN"/>
        </w:rPr>
        <w:t>）。</w:t>
      </w:r>
    </w:p>
    <w:p w14:paraId="4AB4E4B1">
      <w:pPr>
        <w:pStyle w:val="3"/>
        <w:keepNext w:val="0"/>
        <w:keepLines w:val="0"/>
        <w:pageBreakBefore w:val="0"/>
        <w:widowControl w:val="0"/>
        <w:wordWrap/>
        <w:topLinePunct w:val="0"/>
        <w:bidi w:val="0"/>
        <w:adjustRightInd w:val="0"/>
        <w:snapToGrid w:val="0"/>
        <w:spacing w:before="0" w:after="0" w:line="360" w:lineRule="auto"/>
        <w:rPr>
          <w:rFonts w:hint="default" w:ascii="Times New Roman" w:hAnsi="Times New Roman" w:eastAsia="宋体" w:cs="Times New Roman"/>
          <w:color w:val="auto"/>
          <w:sz w:val="28"/>
          <w:highlight w:val="none"/>
        </w:rPr>
      </w:pPr>
      <w:bookmarkStart w:id="158" w:name="_Toc48914449"/>
      <w:r>
        <w:rPr>
          <w:rFonts w:hint="default" w:ascii="Times New Roman" w:hAnsi="Times New Roman" w:eastAsia="宋体" w:cs="Times New Roman"/>
          <w:color w:val="auto"/>
          <w:sz w:val="28"/>
          <w:highlight w:val="none"/>
        </w:rPr>
        <w:t>1.4评价因子、评价等级、评价范围</w:t>
      </w:r>
      <w:bookmarkEnd w:id="157"/>
      <w:bookmarkEnd w:id="158"/>
    </w:p>
    <w:p w14:paraId="13FA4B16">
      <w:pPr>
        <w:keepNext w:val="0"/>
        <w:keepLines w:val="0"/>
        <w:pageBreakBefore w:val="0"/>
        <w:widowControl w:val="0"/>
        <w:wordWrap/>
        <w:topLinePunct w:val="0"/>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（1）评价因子</w:t>
      </w:r>
    </w:p>
    <w:p w14:paraId="1737B60C">
      <w:pPr>
        <w:keepNext w:val="0"/>
        <w:keepLines w:val="0"/>
        <w:pageBreakBefore w:val="0"/>
        <w:widowControl w:val="0"/>
        <w:wordWrap/>
        <w:topLinePunct w:val="0"/>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z w:val="24"/>
          <w:highlight w:val="none"/>
          <w:lang w:val="en-US" w:eastAsia="zh-CN"/>
        </w:rPr>
        <w:t>新建</w:t>
      </w:r>
      <w:r>
        <w:rPr>
          <w:rFonts w:hint="eastAsia"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座220kV升压站，为电压等级220kV的输变电类项目，</w:t>
      </w:r>
      <w:r>
        <w:rPr>
          <w:rFonts w:hint="eastAsia" w:ascii="Times New Roman" w:hAnsi="Times New Roman" w:eastAsia="宋体" w:cs="Times New Roman"/>
          <w:color w:val="auto"/>
          <w:sz w:val="24"/>
          <w:highlight w:val="none"/>
          <w:lang w:val="en-US" w:eastAsia="zh-CN"/>
        </w:rPr>
        <w:t>项目</w:t>
      </w:r>
      <w:r>
        <w:rPr>
          <w:rFonts w:hint="default" w:ascii="Times New Roman" w:hAnsi="Times New Roman" w:eastAsia="宋体" w:cs="Times New Roman"/>
          <w:color w:val="auto"/>
          <w:sz w:val="24"/>
          <w:highlight w:val="none"/>
          <w:lang w:val="en-US" w:eastAsia="zh-CN"/>
        </w:rPr>
        <w:t>运行过程中会对周围电磁环境产生影响，其主要污染因子为工频电场和工频磁场，因此，选择工频电场强度和工频磁感应强度做为本专题评价因子。</w:t>
      </w:r>
    </w:p>
    <w:p w14:paraId="3650A492">
      <w:pPr>
        <w:keepNext w:val="0"/>
        <w:keepLines w:val="0"/>
        <w:pageBreakBefore w:val="0"/>
        <w:widowControl w:val="0"/>
        <w:wordWrap/>
        <w:topLinePunct w:val="0"/>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（2）评价等级</w:t>
      </w:r>
    </w:p>
    <w:p w14:paraId="036240DE">
      <w:pPr>
        <w:keepNext w:val="0"/>
        <w:keepLines w:val="0"/>
        <w:pageBreakBefore w:val="0"/>
        <w:widowControl w:val="0"/>
        <w:wordWrap/>
        <w:topLinePunct w:val="0"/>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 xml:space="preserve">根据《环境影响评价技术导则 输变电》(HJ24-2020)评价工作等级划分原则，确定本工程工作等级，详见表1。   </w:t>
      </w:r>
    </w:p>
    <w:p w14:paraId="5FE1EBBB">
      <w:pPr>
        <w:keepNext w:val="0"/>
        <w:keepLines w:val="0"/>
        <w:pageBreakBefore w:val="0"/>
        <w:widowControl w:val="0"/>
        <w:wordWrap/>
        <w:topLinePunct w:val="0"/>
        <w:bidi w:val="0"/>
        <w:adjustRightInd w:val="0"/>
        <w:snapToGrid w:val="0"/>
        <w:spacing w:line="240" w:lineRule="auto"/>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color w:val="auto"/>
          <w:kern w:val="0"/>
          <w:sz w:val="21"/>
          <w:szCs w:val="21"/>
          <w:highlight w:val="none"/>
          <w:lang w:val="en-US" w:eastAsia="zh-CN" w:bidi="ar-SA"/>
        </w:rPr>
        <w:t>表1       电磁环境影响评价工作等级划分</w:t>
      </w:r>
    </w:p>
    <w:tbl>
      <w:tblPr>
        <w:tblStyle w:val="18"/>
        <w:tblW w:w="497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564"/>
        <w:gridCol w:w="1146"/>
        <w:gridCol w:w="930"/>
        <w:gridCol w:w="1825"/>
        <w:gridCol w:w="878"/>
        <w:gridCol w:w="1816"/>
        <w:gridCol w:w="1326"/>
      </w:tblGrid>
      <w:tr w14:paraId="3031DB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32" w:type="pct"/>
            <w:vMerge w:val="restart"/>
            <w:noWrap w:val="0"/>
            <w:vAlign w:val="center"/>
          </w:tcPr>
          <w:p w14:paraId="453CB00E">
            <w:pPr>
              <w:keepNext w:val="0"/>
              <w:keepLines w:val="0"/>
              <w:pageBreakBefore w:val="0"/>
              <w:widowControl w:val="0"/>
              <w:wordWrap/>
              <w:topLinePunct w:val="0"/>
              <w:autoSpaceDE w:val="0"/>
              <w:autoSpaceDN w:val="0"/>
              <w:bidi w:val="0"/>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w:t>
            </w:r>
          </w:p>
          <w:p w14:paraId="631489DB">
            <w:pPr>
              <w:keepNext w:val="0"/>
              <w:keepLines w:val="0"/>
              <w:pageBreakBefore w:val="0"/>
              <w:widowControl w:val="0"/>
              <w:wordWrap/>
              <w:topLinePunct w:val="0"/>
              <w:autoSpaceDE w:val="0"/>
              <w:autoSpaceDN w:val="0"/>
              <w:bidi w:val="0"/>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类</w:t>
            </w:r>
          </w:p>
        </w:tc>
        <w:tc>
          <w:tcPr>
            <w:tcW w:w="675" w:type="pct"/>
            <w:vMerge w:val="restart"/>
            <w:noWrap w:val="0"/>
            <w:vAlign w:val="center"/>
          </w:tcPr>
          <w:p w14:paraId="57BDB29C">
            <w:pPr>
              <w:keepNext w:val="0"/>
              <w:keepLines w:val="0"/>
              <w:pageBreakBefore w:val="0"/>
              <w:widowControl w:val="0"/>
              <w:wordWrap/>
              <w:topLinePunct w:val="0"/>
              <w:autoSpaceDE w:val="0"/>
              <w:autoSpaceDN w:val="0"/>
              <w:bidi w:val="0"/>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电压</w:t>
            </w:r>
          </w:p>
          <w:p w14:paraId="3EB451C0">
            <w:pPr>
              <w:keepNext w:val="0"/>
              <w:keepLines w:val="0"/>
              <w:pageBreakBefore w:val="0"/>
              <w:widowControl w:val="0"/>
              <w:wordWrap/>
              <w:topLinePunct w:val="0"/>
              <w:autoSpaceDE w:val="0"/>
              <w:autoSpaceDN w:val="0"/>
              <w:bidi w:val="0"/>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等级</w:t>
            </w:r>
          </w:p>
        </w:tc>
        <w:tc>
          <w:tcPr>
            <w:tcW w:w="548" w:type="pct"/>
            <w:vMerge w:val="restart"/>
            <w:noWrap w:val="0"/>
            <w:vAlign w:val="center"/>
          </w:tcPr>
          <w:p w14:paraId="35177095">
            <w:pPr>
              <w:keepNext w:val="0"/>
              <w:keepLines w:val="0"/>
              <w:pageBreakBefore w:val="0"/>
              <w:widowControl w:val="0"/>
              <w:wordWrap/>
              <w:topLinePunct w:val="0"/>
              <w:autoSpaceDE w:val="0"/>
              <w:autoSpaceDN w:val="0"/>
              <w:bidi w:val="0"/>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w:t>
            </w:r>
          </w:p>
        </w:tc>
        <w:tc>
          <w:tcPr>
            <w:tcW w:w="1075" w:type="pct"/>
            <w:vMerge w:val="restart"/>
            <w:noWrap w:val="0"/>
            <w:vAlign w:val="center"/>
          </w:tcPr>
          <w:p w14:paraId="2979E197">
            <w:pPr>
              <w:keepNext w:val="0"/>
              <w:keepLines w:val="0"/>
              <w:pageBreakBefore w:val="0"/>
              <w:widowControl w:val="0"/>
              <w:wordWrap/>
              <w:topLinePunct w:val="0"/>
              <w:autoSpaceDE w:val="0"/>
              <w:autoSpaceDN w:val="0"/>
              <w:bidi w:val="0"/>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条件</w:t>
            </w:r>
          </w:p>
        </w:tc>
        <w:tc>
          <w:tcPr>
            <w:tcW w:w="517" w:type="pct"/>
            <w:vMerge w:val="restart"/>
            <w:noWrap w:val="0"/>
            <w:vAlign w:val="center"/>
          </w:tcPr>
          <w:p w14:paraId="5C85FEFA">
            <w:pPr>
              <w:keepNext w:val="0"/>
              <w:keepLines w:val="0"/>
              <w:pageBreakBefore w:val="0"/>
              <w:widowControl w:val="0"/>
              <w:wordWrap/>
              <w:topLinePunct w:val="0"/>
              <w:autoSpaceDE w:val="0"/>
              <w:autoSpaceDN w:val="0"/>
              <w:bidi w:val="0"/>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评价工作等级</w:t>
            </w:r>
          </w:p>
        </w:tc>
        <w:tc>
          <w:tcPr>
            <w:tcW w:w="1851" w:type="pct"/>
            <w:gridSpan w:val="2"/>
            <w:noWrap w:val="0"/>
            <w:vAlign w:val="center"/>
          </w:tcPr>
          <w:p w14:paraId="66D96371">
            <w:pPr>
              <w:keepNext w:val="0"/>
              <w:keepLines w:val="0"/>
              <w:pageBreakBefore w:val="0"/>
              <w:widowControl w:val="0"/>
              <w:wordWrap/>
              <w:topLinePunct w:val="0"/>
              <w:autoSpaceDE w:val="0"/>
              <w:autoSpaceDN w:val="0"/>
              <w:bidi w:val="0"/>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本工程</w:t>
            </w:r>
          </w:p>
        </w:tc>
      </w:tr>
      <w:tr w14:paraId="5DBC812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32" w:type="pct"/>
            <w:vMerge w:val="continue"/>
            <w:noWrap w:val="0"/>
            <w:vAlign w:val="top"/>
          </w:tcPr>
          <w:p w14:paraId="7E74F250">
            <w:pPr>
              <w:keepNext w:val="0"/>
              <w:keepLines w:val="0"/>
              <w:pageBreakBefore w:val="0"/>
              <w:widowControl w:val="0"/>
              <w:wordWrap/>
              <w:topLinePunct w:val="0"/>
              <w:autoSpaceDE w:val="0"/>
              <w:autoSpaceDN w:val="0"/>
              <w:bidi w:val="0"/>
              <w:adjustRightInd w:val="0"/>
              <w:snapToGrid w:val="0"/>
              <w:jc w:val="center"/>
              <w:rPr>
                <w:rFonts w:hint="default" w:ascii="Times New Roman" w:hAnsi="Times New Roman" w:eastAsia="宋体" w:cs="Times New Roman"/>
                <w:color w:val="auto"/>
                <w:highlight w:val="none"/>
              </w:rPr>
            </w:pPr>
          </w:p>
        </w:tc>
        <w:tc>
          <w:tcPr>
            <w:tcW w:w="675" w:type="pct"/>
            <w:vMerge w:val="continue"/>
            <w:noWrap w:val="0"/>
            <w:vAlign w:val="center"/>
          </w:tcPr>
          <w:p w14:paraId="2FFEF9EE">
            <w:pPr>
              <w:keepNext w:val="0"/>
              <w:keepLines w:val="0"/>
              <w:pageBreakBefore w:val="0"/>
              <w:widowControl w:val="0"/>
              <w:wordWrap/>
              <w:topLinePunct w:val="0"/>
              <w:autoSpaceDE w:val="0"/>
              <w:autoSpaceDN w:val="0"/>
              <w:bidi w:val="0"/>
              <w:adjustRightInd w:val="0"/>
              <w:snapToGrid w:val="0"/>
              <w:jc w:val="center"/>
              <w:rPr>
                <w:rFonts w:hint="default" w:ascii="Times New Roman" w:hAnsi="Times New Roman" w:eastAsia="宋体" w:cs="Times New Roman"/>
                <w:color w:val="auto"/>
                <w:highlight w:val="none"/>
              </w:rPr>
            </w:pPr>
          </w:p>
        </w:tc>
        <w:tc>
          <w:tcPr>
            <w:tcW w:w="548" w:type="pct"/>
            <w:vMerge w:val="continue"/>
            <w:noWrap w:val="0"/>
            <w:vAlign w:val="center"/>
          </w:tcPr>
          <w:p w14:paraId="330906FF">
            <w:pPr>
              <w:keepNext w:val="0"/>
              <w:keepLines w:val="0"/>
              <w:pageBreakBefore w:val="0"/>
              <w:widowControl w:val="0"/>
              <w:wordWrap/>
              <w:topLinePunct w:val="0"/>
              <w:autoSpaceDE w:val="0"/>
              <w:autoSpaceDN w:val="0"/>
              <w:bidi w:val="0"/>
              <w:adjustRightInd w:val="0"/>
              <w:snapToGrid w:val="0"/>
              <w:jc w:val="center"/>
              <w:rPr>
                <w:rFonts w:hint="default" w:ascii="Times New Roman" w:hAnsi="Times New Roman" w:eastAsia="宋体" w:cs="Times New Roman"/>
                <w:color w:val="auto"/>
                <w:highlight w:val="none"/>
              </w:rPr>
            </w:pPr>
          </w:p>
        </w:tc>
        <w:tc>
          <w:tcPr>
            <w:tcW w:w="1075" w:type="pct"/>
            <w:vMerge w:val="continue"/>
            <w:noWrap w:val="0"/>
            <w:vAlign w:val="center"/>
          </w:tcPr>
          <w:p w14:paraId="6D117C37">
            <w:pPr>
              <w:keepNext w:val="0"/>
              <w:keepLines w:val="0"/>
              <w:pageBreakBefore w:val="0"/>
              <w:widowControl w:val="0"/>
              <w:wordWrap/>
              <w:topLinePunct w:val="0"/>
              <w:autoSpaceDE w:val="0"/>
              <w:autoSpaceDN w:val="0"/>
              <w:bidi w:val="0"/>
              <w:adjustRightInd w:val="0"/>
              <w:snapToGrid w:val="0"/>
              <w:jc w:val="center"/>
              <w:rPr>
                <w:rFonts w:hint="default" w:ascii="Times New Roman" w:hAnsi="Times New Roman" w:eastAsia="宋体" w:cs="Times New Roman"/>
                <w:color w:val="auto"/>
                <w:highlight w:val="none"/>
              </w:rPr>
            </w:pPr>
          </w:p>
        </w:tc>
        <w:tc>
          <w:tcPr>
            <w:tcW w:w="517" w:type="pct"/>
            <w:vMerge w:val="continue"/>
            <w:noWrap w:val="0"/>
            <w:vAlign w:val="center"/>
          </w:tcPr>
          <w:p w14:paraId="1C4CD2D7">
            <w:pPr>
              <w:keepNext w:val="0"/>
              <w:keepLines w:val="0"/>
              <w:pageBreakBefore w:val="0"/>
              <w:widowControl w:val="0"/>
              <w:wordWrap/>
              <w:topLinePunct w:val="0"/>
              <w:autoSpaceDE w:val="0"/>
              <w:autoSpaceDN w:val="0"/>
              <w:bidi w:val="0"/>
              <w:adjustRightInd w:val="0"/>
              <w:snapToGrid w:val="0"/>
              <w:jc w:val="center"/>
              <w:rPr>
                <w:rFonts w:hint="default" w:ascii="Times New Roman" w:hAnsi="Times New Roman" w:eastAsia="宋体" w:cs="Times New Roman"/>
                <w:color w:val="auto"/>
                <w:highlight w:val="none"/>
              </w:rPr>
            </w:pPr>
          </w:p>
        </w:tc>
        <w:tc>
          <w:tcPr>
            <w:tcW w:w="1070" w:type="pct"/>
            <w:noWrap w:val="0"/>
            <w:vAlign w:val="center"/>
          </w:tcPr>
          <w:p w14:paraId="534A6F7D">
            <w:pPr>
              <w:keepNext w:val="0"/>
              <w:keepLines w:val="0"/>
              <w:pageBreakBefore w:val="0"/>
              <w:widowControl w:val="0"/>
              <w:wordWrap/>
              <w:topLinePunct w:val="0"/>
              <w:autoSpaceDE w:val="0"/>
              <w:autoSpaceDN w:val="0"/>
              <w:bidi w:val="0"/>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条件</w:t>
            </w:r>
          </w:p>
        </w:tc>
        <w:tc>
          <w:tcPr>
            <w:tcW w:w="781" w:type="pct"/>
            <w:noWrap w:val="0"/>
            <w:vAlign w:val="center"/>
          </w:tcPr>
          <w:p w14:paraId="13DC8C93">
            <w:pPr>
              <w:keepNext w:val="0"/>
              <w:keepLines w:val="0"/>
              <w:pageBreakBefore w:val="0"/>
              <w:widowControl w:val="0"/>
              <w:wordWrap/>
              <w:topLinePunct w:val="0"/>
              <w:autoSpaceDE w:val="0"/>
              <w:autoSpaceDN w:val="0"/>
              <w:bidi w:val="0"/>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工作</w:t>
            </w:r>
          </w:p>
          <w:p w14:paraId="2098F9AF">
            <w:pPr>
              <w:keepNext w:val="0"/>
              <w:keepLines w:val="0"/>
              <w:pageBreakBefore w:val="0"/>
              <w:widowControl w:val="0"/>
              <w:wordWrap/>
              <w:topLinePunct w:val="0"/>
              <w:autoSpaceDE w:val="0"/>
              <w:autoSpaceDN w:val="0"/>
              <w:bidi w:val="0"/>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等级</w:t>
            </w:r>
          </w:p>
        </w:tc>
      </w:tr>
      <w:tr w14:paraId="3E817F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2" w:hRule="atLeast"/>
          <w:jc w:val="center"/>
        </w:trPr>
        <w:tc>
          <w:tcPr>
            <w:tcW w:w="332" w:type="pct"/>
            <w:noWrap w:val="0"/>
            <w:vAlign w:val="center"/>
          </w:tcPr>
          <w:p w14:paraId="1CB145DD">
            <w:pPr>
              <w:keepNext w:val="0"/>
              <w:keepLines w:val="0"/>
              <w:pageBreakBefore w:val="0"/>
              <w:widowControl w:val="0"/>
              <w:wordWrap/>
              <w:topLinePunct w:val="0"/>
              <w:autoSpaceDE w:val="0"/>
              <w:autoSpaceDN w:val="0"/>
              <w:bidi w:val="0"/>
              <w:adjustRightInd w:val="0"/>
              <w:snapToGrid w:val="0"/>
              <w:jc w:val="center"/>
              <w:rPr>
                <w:rFonts w:hint="default" w:ascii="Times New Roman" w:hAnsi="Times New Roman" w:eastAsia="宋体" w:cs="Times New Roman"/>
                <w:i w:val="0"/>
                <w:iCs w:val="0"/>
                <w:color w:val="auto"/>
                <w:highlight w:val="none"/>
                <w:lang w:val="en-US" w:eastAsia="zh-CN"/>
              </w:rPr>
            </w:pPr>
            <w:r>
              <w:rPr>
                <w:rFonts w:hint="default" w:ascii="Times New Roman" w:hAnsi="Times New Roman" w:eastAsia="宋体" w:cs="Times New Roman"/>
                <w:i w:val="0"/>
                <w:iCs w:val="0"/>
                <w:color w:val="auto"/>
                <w:highlight w:val="none"/>
                <w:lang w:val="en-US" w:eastAsia="zh-CN"/>
              </w:rPr>
              <w:t>交流</w:t>
            </w:r>
          </w:p>
        </w:tc>
        <w:tc>
          <w:tcPr>
            <w:tcW w:w="675" w:type="pct"/>
            <w:noWrap w:val="0"/>
            <w:vAlign w:val="center"/>
          </w:tcPr>
          <w:p w14:paraId="6598F4C6">
            <w:pPr>
              <w:keepNext w:val="0"/>
              <w:keepLines w:val="0"/>
              <w:pageBreakBefore w:val="0"/>
              <w:widowControl w:val="0"/>
              <w:wordWrap/>
              <w:topLinePunct w:val="0"/>
              <w:autoSpaceDE w:val="0"/>
              <w:autoSpaceDN w:val="0"/>
              <w:bidi w:val="0"/>
              <w:adjustRightInd w:val="0"/>
              <w:snapToGrid w:val="0"/>
              <w:jc w:val="center"/>
              <w:rPr>
                <w:rFonts w:hint="default" w:ascii="Times New Roman" w:hAnsi="Times New Roman" w:eastAsia="宋体" w:cs="Times New Roman"/>
                <w:i w:val="0"/>
                <w:iCs w:val="0"/>
                <w:color w:val="auto"/>
                <w:highlight w:val="none"/>
                <w:lang w:val="en-US" w:eastAsia="zh-CN"/>
              </w:rPr>
            </w:pPr>
            <w:r>
              <w:rPr>
                <w:rFonts w:hint="default" w:ascii="Times New Roman" w:hAnsi="Times New Roman" w:eastAsia="宋体" w:cs="Times New Roman"/>
                <w:i w:val="0"/>
                <w:iCs w:val="0"/>
                <w:color w:val="auto"/>
                <w:highlight w:val="none"/>
                <w:lang w:val="en-US" w:eastAsia="zh-CN"/>
              </w:rPr>
              <w:t>220kV</w:t>
            </w:r>
          </w:p>
        </w:tc>
        <w:tc>
          <w:tcPr>
            <w:tcW w:w="548" w:type="pct"/>
            <w:noWrap w:val="0"/>
            <w:vAlign w:val="center"/>
          </w:tcPr>
          <w:p w14:paraId="65EDCF66">
            <w:pPr>
              <w:keepNext w:val="0"/>
              <w:keepLines w:val="0"/>
              <w:pageBreakBefore w:val="0"/>
              <w:widowControl w:val="0"/>
              <w:wordWrap/>
              <w:topLinePunct w:val="0"/>
              <w:autoSpaceDE w:val="0"/>
              <w:autoSpaceDN w:val="0"/>
              <w:bidi w:val="0"/>
              <w:adjustRightInd w:val="0"/>
              <w:snapToGrid w:val="0"/>
              <w:jc w:val="center"/>
              <w:rPr>
                <w:rFonts w:hint="default" w:ascii="Times New Roman" w:hAnsi="Times New Roman" w:eastAsia="宋体" w:cs="Times New Roman"/>
                <w:i w:val="0"/>
                <w:iCs w:val="0"/>
                <w:color w:val="auto"/>
                <w:highlight w:val="none"/>
                <w:lang w:val="en-US" w:eastAsia="zh-CN"/>
              </w:rPr>
            </w:pPr>
            <w:r>
              <w:rPr>
                <w:rFonts w:hint="default" w:ascii="Times New Roman" w:hAnsi="Times New Roman" w:eastAsia="宋体" w:cs="Times New Roman"/>
                <w:i w:val="0"/>
                <w:iCs w:val="0"/>
                <w:color w:val="auto"/>
                <w:highlight w:val="none"/>
                <w:lang w:val="en-US" w:eastAsia="zh-CN"/>
              </w:rPr>
              <w:t>变电站</w:t>
            </w:r>
          </w:p>
        </w:tc>
        <w:tc>
          <w:tcPr>
            <w:tcW w:w="1075" w:type="pct"/>
            <w:noWrap w:val="0"/>
            <w:vAlign w:val="center"/>
          </w:tcPr>
          <w:p w14:paraId="69D839B8">
            <w:pPr>
              <w:keepNext w:val="0"/>
              <w:keepLines w:val="0"/>
              <w:pageBreakBefore w:val="0"/>
              <w:widowControl w:val="0"/>
              <w:wordWrap/>
              <w:topLinePunct w:val="0"/>
              <w:autoSpaceDE w:val="0"/>
              <w:autoSpaceDN w:val="0"/>
              <w:bidi w:val="0"/>
              <w:adjustRightInd w:val="0"/>
              <w:snapToGrid w:val="0"/>
              <w:jc w:val="center"/>
              <w:rPr>
                <w:rFonts w:hint="default" w:ascii="Times New Roman" w:hAnsi="Times New Roman" w:eastAsia="宋体" w:cs="Times New Roman"/>
                <w:i w:val="0"/>
                <w:iCs w:val="0"/>
                <w:color w:val="auto"/>
                <w:highlight w:val="none"/>
                <w:lang w:val="en-US" w:eastAsia="zh-CN"/>
              </w:rPr>
            </w:pPr>
            <w:r>
              <w:rPr>
                <w:rFonts w:hint="default" w:ascii="Times New Roman" w:hAnsi="Times New Roman" w:eastAsia="宋体" w:cs="Times New Roman"/>
                <w:i w:val="0"/>
                <w:iCs w:val="0"/>
                <w:color w:val="auto"/>
                <w:highlight w:val="none"/>
                <w:lang w:val="en-US" w:eastAsia="zh-CN"/>
              </w:rPr>
              <w:t>户外式</w:t>
            </w:r>
          </w:p>
        </w:tc>
        <w:tc>
          <w:tcPr>
            <w:tcW w:w="517" w:type="pct"/>
            <w:noWrap w:val="0"/>
            <w:vAlign w:val="center"/>
          </w:tcPr>
          <w:p w14:paraId="4E918BE8">
            <w:pPr>
              <w:keepNext w:val="0"/>
              <w:keepLines w:val="0"/>
              <w:pageBreakBefore w:val="0"/>
              <w:widowControl w:val="0"/>
              <w:wordWrap/>
              <w:topLinePunct w:val="0"/>
              <w:autoSpaceDE w:val="0"/>
              <w:autoSpaceDN w:val="0"/>
              <w:bidi w:val="0"/>
              <w:adjustRightInd w:val="0"/>
              <w:snapToGrid w:val="0"/>
              <w:jc w:val="center"/>
              <w:rPr>
                <w:rFonts w:hint="default" w:ascii="Times New Roman" w:hAnsi="Times New Roman" w:eastAsia="宋体" w:cs="Times New Roman"/>
                <w:i w:val="0"/>
                <w:iCs w:val="0"/>
                <w:color w:val="auto"/>
                <w:highlight w:val="none"/>
                <w:lang w:val="en-US" w:eastAsia="zh-CN"/>
              </w:rPr>
            </w:pPr>
            <w:r>
              <w:rPr>
                <w:rFonts w:hint="default" w:ascii="Times New Roman" w:hAnsi="Times New Roman" w:eastAsia="宋体" w:cs="Times New Roman"/>
                <w:i w:val="0"/>
                <w:iCs w:val="0"/>
                <w:color w:val="auto"/>
                <w:highlight w:val="none"/>
                <w:lang w:val="en-US" w:eastAsia="zh-CN"/>
              </w:rPr>
              <w:t>二级</w:t>
            </w:r>
          </w:p>
        </w:tc>
        <w:tc>
          <w:tcPr>
            <w:tcW w:w="1070" w:type="pct"/>
            <w:noWrap w:val="0"/>
            <w:vAlign w:val="center"/>
          </w:tcPr>
          <w:p w14:paraId="6D4474BD">
            <w:pPr>
              <w:keepNext w:val="0"/>
              <w:keepLines w:val="0"/>
              <w:pageBreakBefore w:val="0"/>
              <w:widowControl w:val="0"/>
              <w:wordWrap/>
              <w:topLinePunct w:val="0"/>
              <w:autoSpaceDE w:val="0"/>
              <w:autoSpaceDN w:val="0"/>
              <w:bidi w:val="0"/>
              <w:adjustRightInd w:val="0"/>
              <w:snapToGrid w:val="0"/>
              <w:jc w:val="center"/>
              <w:rPr>
                <w:rFonts w:hint="default" w:ascii="Times New Roman" w:hAnsi="Times New Roman" w:eastAsia="宋体" w:cs="Times New Roman"/>
                <w:i w:val="0"/>
                <w:iCs w:val="0"/>
                <w:color w:val="auto"/>
                <w:highlight w:val="none"/>
                <w:lang w:val="en-US" w:eastAsia="zh-CN"/>
              </w:rPr>
            </w:pPr>
            <w:r>
              <w:rPr>
                <w:rFonts w:hint="default" w:ascii="Times New Roman" w:hAnsi="Times New Roman" w:eastAsia="宋体" w:cs="Times New Roman"/>
                <w:i w:val="0"/>
                <w:iCs w:val="0"/>
                <w:color w:val="auto"/>
                <w:highlight w:val="none"/>
                <w:lang w:val="en-US" w:eastAsia="zh-CN"/>
              </w:rPr>
              <w:t>户外式</w:t>
            </w:r>
          </w:p>
        </w:tc>
        <w:tc>
          <w:tcPr>
            <w:tcW w:w="781" w:type="pct"/>
            <w:noWrap w:val="0"/>
            <w:vAlign w:val="center"/>
          </w:tcPr>
          <w:p w14:paraId="7B38E1B2">
            <w:pPr>
              <w:keepNext w:val="0"/>
              <w:keepLines w:val="0"/>
              <w:pageBreakBefore w:val="0"/>
              <w:widowControl w:val="0"/>
              <w:wordWrap/>
              <w:topLinePunct w:val="0"/>
              <w:autoSpaceDE w:val="0"/>
              <w:autoSpaceDN w:val="0"/>
              <w:bidi w:val="0"/>
              <w:adjustRightInd w:val="0"/>
              <w:snapToGrid w:val="0"/>
              <w:jc w:val="center"/>
              <w:rPr>
                <w:rFonts w:hint="default" w:ascii="Times New Roman" w:hAnsi="Times New Roman" w:eastAsia="宋体" w:cs="Times New Roman"/>
                <w:i w:val="0"/>
                <w:iCs w:val="0"/>
                <w:color w:val="auto"/>
                <w:highlight w:val="none"/>
                <w:lang w:val="en-US" w:eastAsia="zh-CN"/>
              </w:rPr>
            </w:pPr>
            <w:r>
              <w:rPr>
                <w:rFonts w:hint="default" w:ascii="Times New Roman" w:hAnsi="Times New Roman" w:eastAsia="宋体" w:cs="Times New Roman"/>
                <w:i w:val="0"/>
                <w:iCs w:val="0"/>
                <w:color w:val="auto"/>
                <w:highlight w:val="none"/>
                <w:lang w:val="en-US" w:eastAsia="zh-CN"/>
              </w:rPr>
              <w:t>二级</w:t>
            </w:r>
          </w:p>
        </w:tc>
      </w:tr>
    </w:tbl>
    <w:p w14:paraId="3C1F9D3B">
      <w:pPr>
        <w:keepNext w:val="0"/>
        <w:keepLines w:val="0"/>
        <w:pageBreakBefore w:val="0"/>
        <w:widowControl w:val="0"/>
        <w:kinsoku/>
        <w:wordWrap/>
        <w:overflowPunct/>
        <w:topLinePunct w:val="0"/>
        <w:autoSpaceDE w:val="0"/>
        <w:autoSpaceDN w:val="0"/>
        <w:bidi w:val="0"/>
        <w:adjustRightInd w:val="0"/>
        <w:snapToGrid w:val="0"/>
        <w:spacing w:before="161" w:beforeLines="50"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（3）评价范围</w:t>
      </w:r>
    </w:p>
    <w:p w14:paraId="3F66EBDC">
      <w:pPr>
        <w:keepNext w:val="0"/>
        <w:keepLines w:val="0"/>
        <w:pageBreakBefore w:val="0"/>
        <w:widowControl w:val="0"/>
        <w:wordWrap/>
        <w:topLinePunct w:val="0"/>
        <w:autoSpaceDE w:val="0"/>
        <w:autoSpaceDN w:val="0"/>
        <w:bidi w:val="0"/>
        <w:adjustRightInd w:val="0"/>
        <w:snapToGrid w:val="0"/>
        <w:spacing w:line="360" w:lineRule="auto"/>
        <w:ind w:left="479" w:leftChars="228" w:firstLine="0" w:firstLineChars="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根据《环境影响评价技术导则 输变电》(HJ24-2020)，本项目评价范围为：220kV</w:t>
      </w:r>
      <w:r>
        <w:rPr>
          <w:rFonts w:hint="eastAsia" w:ascii="Times New Roman" w:hAnsi="Times New Roman" w:eastAsia="宋体" w:cs="Times New Roman"/>
          <w:color w:val="auto"/>
          <w:sz w:val="24"/>
          <w:highlight w:val="none"/>
          <w:lang w:val="en-US" w:eastAsia="zh-CN"/>
        </w:rPr>
        <w:t>升压站</w:t>
      </w:r>
      <w:r>
        <w:rPr>
          <w:rFonts w:hint="default" w:ascii="Times New Roman" w:hAnsi="Times New Roman" w:eastAsia="宋体" w:cs="Times New Roman"/>
          <w:color w:val="auto"/>
          <w:sz w:val="24"/>
          <w:highlight w:val="none"/>
          <w:lang w:val="en-US" w:eastAsia="zh-CN"/>
        </w:rPr>
        <w:t>：站界外40m</w:t>
      </w:r>
      <w:r>
        <w:rPr>
          <w:rFonts w:hint="eastAsia" w:ascii="Times New Roman" w:hAnsi="Times New Roman" w:eastAsia="宋体" w:cs="Times New Roman"/>
          <w:color w:val="auto"/>
          <w:sz w:val="24"/>
          <w:highlight w:val="none"/>
          <w:lang w:val="en-US" w:eastAsia="zh-CN"/>
        </w:rPr>
        <w:t>。</w:t>
      </w:r>
    </w:p>
    <w:p w14:paraId="23A49405">
      <w:pPr>
        <w:pStyle w:val="3"/>
        <w:keepNext w:val="0"/>
        <w:keepLines w:val="0"/>
        <w:pageBreakBefore w:val="0"/>
        <w:widowControl w:val="0"/>
        <w:wordWrap/>
        <w:topLinePunct w:val="0"/>
        <w:bidi w:val="0"/>
        <w:snapToGrid w:val="0"/>
        <w:spacing w:before="0" w:after="0" w:line="360" w:lineRule="auto"/>
        <w:rPr>
          <w:rFonts w:hint="default" w:ascii="Times New Roman" w:hAnsi="Times New Roman" w:eastAsia="宋体" w:cs="Times New Roman"/>
          <w:color w:val="auto"/>
          <w:sz w:val="28"/>
          <w:highlight w:val="none"/>
        </w:rPr>
      </w:pPr>
      <w:bookmarkStart w:id="159" w:name="_Toc30868"/>
      <w:bookmarkStart w:id="160" w:name="_Toc48914450"/>
      <w:r>
        <w:rPr>
          <w:rFonts w:hint="default" w:ascii="Times New Roman" w:hAnsi="Times New Roman" w:eastAsia="宋体" w:cs="Times New Roman"/>
          <w:color w:val="auto"/>
          <w:sz w:val="28"/>
          <w:highlight w:val="none"/>
        </w:rPr>
        <w:t>1.5评价标准</w:t>
      </w:r>
      <w:bookmarkEnd w:id="159"/>
      <w:bookmarkEnd w:id="160"/>
    </w:p>
    <w:p w14:paraId="5A4FF90A">
      <w:pPr>
        <w:keepNext w:val="0"/>
        <w:keepLines w:val="0"/>
        <w:pageBreakBefore w:val="0"/>
        <w:widowControl w:val="0"/>
        <w:wordWrap/>
        <w:topLinePunct w:val="0"/>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根据《环境影响评价技术导则 输变电》(HJ24-2020)，工频电场的电场强度、工频磁场的磁感应强度应满足《电磁环境控制限值》(GB8702-2014)的要求，具体见表2。</w:t>
      </w:r>
    </w:p>
    <w:p w14:paraId="54D308C3">
      <w:pPr>
        <w:pStyle w:val="6"/>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表2      电磁环境控制限值</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7"/>
        <w:gridCol w:w="1969"/>
        <w:gridCol w:w="1357"/>
        <w:gridCol w:w="1469"/>
        <w:gridCol w:w="1267"/>
      </w:tblGrid>
      <w:tr w14:paraId="312E0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2477" w:type="dxa"/>
            <w:tcBorders>
              <w:bottom w:val="single" w:color="auto" w:sz="4" w:space="0"/>
              <w:right w:val="single" w:color="auto" w:sz="4" w:space="0"/>
            </w:tcBorders>
            <w:noWrap w:val="0"/>
            <w:vAlign w:val="center"/>
          </w:tcPr>
          <w:p w14:paraId="393013F0">
            <w:pPr>
              <w:keepNext w:val="0"/>
              <w:keepLines w:val="0"/>
              <w:pageBreakBefore w:val="0"/>
              <w:widowControl w:val="0"/>
              <w:wordWrap/>
              <w:topLinePunct w:val="0"/>
              <w:bidi w:val="0"/>
              <w:spacing w:line="240" w:lineRule="auto"/>
              <w:jc w:val="center"/>
              <w:rPr>
                <w:rFonts w:hint="default" w:ascii="Times New Roman" w:hAnsi="Times New Roman" w:cs="Times New Roman"/>
                <w:color w:val="auto"/>
                <w:kern w:val="15"/>
                <w:highlight w:val="none"/>
              </w:rPr>
            </w:pPr>
            <w:r>
              <w:rPr>
                <w:rFonts w:hint="default" w:ascii="Times New Roman" w:hAnsi="Times New Roman" w:cs="Times New Roman"/>
                <w:color w:val="auto"/>
                <w:kern w:val="15"/>
                <w:highlight w:val="none"/>
              </w:rPr>
              <w:t>项目</w:t>
            </w:r>
          </w:p>
        </w:tc>
        <w:tc>
          <w:tcPr>
            <w:tcW w:w="1969" w:type="dxa"/>
            <w:tcBorders>
              <w:left w:val="single" w:color="auto" w:sz="4" w:space="0"/>
              <w:bottom w:val="single" w:color="auto" w:sz="4" w:space="0"/>
              <w:right w:val="single" w:color="auto" w:sz="4" w:space="0"/>
            </w:tcBorders>
            <w:noWrap w:val="0"/>
            <w:vAlign w:val="center"/>
          </w:tcPr>
          <w:p w14:paraId="701ACE21">
            <w:pPr>
              <w:keepNext w:val="0"/>
              <w:keepLines w:val="0"/>
              <w:pageBreakBefore w:val="0"/>
              <w:widowControl w:val="0"/>
              <w:wordWrap/>
              <w:topLinePunct w:val="0"/>
              <w:bidi w:val="0"/>
              <w:spacing w:line="240" w:lineRule="auto"/>
              <w:jc w:val="center"/>
              <w:rPr>
                <w:rFonts w:hint="default" w:ascii="Times New Roman" w:hAnsi="Times New Roman" w:cs="Times New Roman"/>
                <w:color w:val="auto"/>
                <w:kern w:val="15"/>
                <w:highlight w:val="none"/>
              </w:rPr>
            </w:pPr>
            <w:r>
              <w:rPr>
                <w:rFonts w:hint="default" w:ascii="Times New Roman" w:hAnsi="Times New Roman" w:cs="Times New Roman"/>
                <w:color w:val="auto"/>
                <w:kern w:val="15"/>
                <w:highlight w:val="none"/>
              </w:rPr>
              <w:t>频率范围</w:t>
            </w:r>
          </w:p>
        </w:tc>
        <w:tc>
          <w:tcPr>
            <w:tcW w:w="1357" w:type="dxa"/>
            <w:tcBorders>
              <w:left w:val="single" w:color="auto" w:sz="4" w:space="0"/>
              <w:bottom w:val="single" w:color="auto" w:sz="4" w:space="0"/>
              <w:right w:val="single" w:color="auto" w:sz="4" w:space="0"/>
            </w:tcBorders>
            <w:noWrap w:val="0"/>
            <w:vAlign w:val="center"/>
          </w:tcPr>
          <w:p w14:paraId="55580D9E">
            <w:pPr>
              <w:keepNext w:val="0"/>
              <w:keepLines w:val="0"/>
              <w:pageBreakBefore w:val="0"/>
              <w:widowControl w:val="0"/>
              <w:wordWrap/>
              <w:topLinePunct w:val="0"/>
              <w:bidi w:val="0"/>
              <w:spacing w:line="240" w:lineRule="auto"/>
              <w:jc w:val="center"/>
              <w:rPr>
                <w:rFonts w:hint="default" w:ascii="Times New Roman" w:hAnsi="Times New Roman" w:cs="Times New Roman"/>
                <w:color w:val="auto"/>
                <w:kern w:val="15"/>
                <w:highlight w:val="none"/>
              </w:rPr>
            </w:pPr>
            <w:r>
              <w:rPr>
                <w:rFonts w:hint="default" w:ascii="Times New Roman" w:hAnsi="Times New Roman" w:cs="Times New Roman"/>
                <w:color w:val="auto"/>
                <w:kern w:val="15"/>
                <w:highlight w:val="none"/>
              </w:rPr>
              <w:t>电场强度</w:t>
            </w:r>
          </w:p>
        </w:tc>
        <w:tc>
          <w:tcPr>
            <w:tcW w:w="1469" w:type="dxa"/>
            <w:tcBorders>
              <w:left w:val="single" w:color="auto" w:sz="4" w:space="0"/>
              <w:bottom w:val="single" w:color="auto" w:sz="4" w:space="0"/>
              <w:right w:val="single" w:color="auto" w:sz="4" w:space="0"/>
            </w:tcBorders>
            <w:noWrap w:val="0"/>
            <w:vAlign w:val="center"/>
          </w:tcPr>
          <w:p w14:paraId="24D32F1B">
            <w:pPr>
              <w:keepNext w:val="0"/>
              <w:keepLines w:val="0"/>
              <w:pageBreakBefore w:val="0"/>
              <w:widowControl w:val="0"/>
              <w:wordWrap/>
              <w:topLinePunct w:val="0"/>
              <w:bidi w:val="0"/>
              <w:spacing w:line="240" w:lineRule="auto"/>
              <w:jc w:val="center"/>
              <w:rPr>
                <w:rFonts w:hint="default" w:ascii="Times New Roman" w:hAnsi="Times New Roman" w:cs="Times New Roman"/>
                <w:color w:val="auto"/>
                <w:kern w:val="15"/>
                <w:highlight w:val="none"/>
              </w:rPr>
            </w:pPr>
            <w:r>
              <w:rPr>
                <w:rFonts w:hint="default" w:ascii="Times New Roman" w:hAnsi="Times New Roman" w:cs="Times New Roman"/>
                <w:color w:val="auto"/>
                <w:kern w:val="15"/>
                <w:highlight w:val="none"/>
              </w:rPr>
              <w:t>磁感应强度</w:t>
            </w:r>
          </w:p>
        </w:tc>
        <w:tc>
          <w:tcPr>
            <w:tcW w:w="1267" w:type="dxa"/>
            <w:tcBorders>
              <w:left w:val="single" w:color="auto" w:sz="4" w:space="0"/>
              <w:bottom w:val="single" w:color="auto" w:sz="4" w:space="0"/>
            </w:tcBorders>
            <w:noWrap w:val="0"/>
            <w:vAlign w:val="center"/>
          </w:tcPr>
          <w:p w14:paraId="53B04B24">
            <w:pPr>
              <w:keepNext w:val="0"/>
              <w:keepLines w:val="0"/>
              <w:pageBreakBefore w:val="0"/>
              <w:widowControl w:val="0"/>
              <w:wordWrap/>
              <w:topLinePunct w:val="0"/>
              <w:bidi w:val="0"/>
              <w:spacing w:line="240" w:lineRule="auto"/>
              <w:jc w:val="center"/>
              <w:rPr>
                <w:rFonts w:hint="default" w:ascii="Times New Roman" w:hAnsi="Times New Roman" w:cs="Times New Roman"/>
                <w:color w:val="auto"/>
                <w:kern w:val="15"/>
                <w:highlight w:val="none"/>
              </w:rPr>
            </w:pPr>
            <w:r>
              <w:rPr>
                <w:rFonts w:hint="default" w:ascii="Times New Roman" w:hAnsi="Times New Roman" w:cs="Times New Roman"/>
                <w:color w:val="auto"/>
                <w:kern w:val="15"/>
                <w:highlight w:val="none"/>
              </w:rPr>
              <w:t>备注</w:t>
            </w:r>
          </w:p>
        </w:tc>
      </w:tr>
      <w:tr w14:paraId="1BFEC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8" w:hRule="atLeast"/>
          <w:jc w:val="center"/>
        </w:trPr>
        <w:tc>
          <w:tcPr>
            <w:tcW w:w="2477" w:type="dxa"/>
            <w:tcBorders>
              <w:top w:val="single" w:color="auto" w:sz="4" w:space="0"/>
              <w:bottom w:val="single" w:color="auto" w:sz="4" w:space="0"/>
              <w:right w:val="single" w:color="auto" w:sz="4" w:space="0"/>
            </w:tcBorders>
            <w:noWrap w:val="0"/>
            <w:vAlign w:val="center"/>
          </w:tcPr>
          <w:p w14:paraId="13BB5089">
            <w:pPr>
              <w:keepNext w:val="0"/>
              <w:keepLines w:val="0"/>
              <w:pageBreakBefore w:val="0"/>
              <w:widowControl w:val="0"/>
              <w:wordWrap/>
              <w:topLinePunct w:val="0"/>
              <w:bidi w:val="0"/>
              <w:spacing w:line="240" w:lineRule="auto"/>
              <w:jc w:val="center"/>
              <w:rPr>
                <w:rFonts w:hint="default" w:ascii="Times New Roman" w:hAnsi="Times New Roman" w:cs="Times New Roman"/>
                <w:color w:val="auto"/>
                <w:kern w:val="15"/>
                <w:highlight w:val="none"/>
              </w:rPr>
            </w:pPr>
            <w:r>
              <w:rPr>
                <w:rFonts w:hint="default" w:ascii="Times New Roman" w:hAnsi="Times New Roman" w:cs="Times New Roman"/>
                <w:color w:val="auto"/>
                <w:highlight w:val="none"/>
              </w:rPr>
              <w:t>《电磁环境控制限值》(GB8702-2014)</w:t>
            </w:r>
          </w:p>
        </w:tc>
        <w:tc>
          <w:tcPr>
            <w:tcW w:w="1969" w:type="dxa"/>
            <w:tcBorders>
              <w:top w:val="single" w:color="auto" w:sz="4" w:space="0"/>
              <w:left w:val="single" w:color="auto" w:sz="4" w:space="0"/>
              <w:bottom w:val="single" w:color="auto" w:sz="4" w:space="0"/>
              <w:right w:val="single" w:color="auto" w:sz="4" w:space="0"/>
            </w:tcBorders>
            <w:noWrap w:val="0"/>
            <w:vAlign w:val="center"/>
          </w:tcPr>
          <w:p w14:paraId="45409915">
            <w:pPr>
              <w:keepNext w:val="0"/>
              <w:keepLines w:val="0"/>
              <w:pageBreakBefore w:val="0"/>
              <w:widowControl w:val="0"/>
              <w:wordWrap/>
              <w:topLinePunct w:val="0"/>
              <w:bidi w:val="0"/>
              <w:spacing w:line="240" w:lineRule="auto"/>
              <w:jc w:val="center"/>
              <w:rPr>
                <w:rFonts w:hint="default" w:ascii="Times New Roman" w:hAnsi="Times New Roman" w:cs="Times New Roman"/>
                <w:color w:val="auto"/>
                <w:kern w:val="15"/>
                <w:highlight w:val="none"/>
              </w:rPr>
            </w:pPr>
            <w:r>
              <w:rPr>
                <w:rFonts w:hint="default" w:ascii="Times New Roman" w:hAnsi="Times New Roman" w:cs="Times New Roman"/>
                <w:color w:val="auto"/>
                <w:kern w:val="15"/>
                <w:highlight w:val="none"/>
              </w:rPr>
              <w:t>0.025kHz～1.2kHz</w:t>
            </w:r>
          </w:p>
        </w:tc>
        <w:tc>
          <w:tcPr>
            <w:tcW w:w="1357" w:type="dxa"/>
            <w:tcBorders>
              <w:top w:val="single" w:color="auto" w:sz="4" w:space="0"/>
              <w:left w:val="single" w:color="auto" w:sz="4" w:space="0"/>
              <w:bottom w:val="single" w:color="auto" w:sz="4" w:space="0"/>
              <w:right w:val="single" w:color="auto" w:sz="4" w:space="0"/>
            </w:tcBorders>
            <w:noWrap w:val="0"/>
            <w:vAlign w:val="center"/>
          </w:tcPr>
          <w:p w14:paraId="5BD51197">
            <w:pPr>
              <w:keepNext w:val="0"/>
              <w:keepLines w:val="0"/>
              <w:pageBreakBefore w:val="0"/>
              <w:widowControl w:val="0"/>
              <w:wordWrap/>
              <w:topLinePunct w:val="0"/>
              <w:bidi w:val="0"/>
              <w:spacing w:line="240" w:lineRule="auto"/>
              <w:jc w:val="center"/>
              <w:rPr>
                <w:rFonts w:hint="default" w:ascii="Times New Roman" w:hAnsi="Times New Roman" w:cs="Times New Roman"/>
                <w:color w:val="auto"/>
                <w:kern w:val="15"/>
                <w:highlight w:val="none"/>
              </w:rPr>
            </w:pPr>
            <w:r>
              <w:rPr>
                <w:rFonts w:hint="default" w:ascii="Times New Roman" w:hAnsi="Times New Roman" w:cs="Times New Roman"/>
                <w:color w:val="auto"/>
                <w:kern w:val="15"/>
                <w:highlight w:val="none"/>
              </w:rPr>
              <w:t>200/f</w:t>
            </w:r>
          </w:p>
        </w:tc>
        <w:tc>
          <w:tcPr>
            <w:tcW w:w="1469" w:type="dxa"/>
            <w:tcBorders>
              <w:top w:val="single" w:color="auto" w:sz="4" w:space="0"/>
              <w:left w:val="single" w:color="auto" w:sz="4" w:space="0"/>
              <w:bottom w:val="single" w:color="auto" w:sz="4" w:space="0"/>
              <w:right w:val="single" w:color="auto" w:sz="4" w:space="0"/>
            </w:tcBorders>
            <w:noWrap w:val="0"/>
            <w:vAlign w:val="center"/>
          </w:tcPr>
          <w:p w14:paraId="44BD9E70">
            <w:pPr>
              <w:keepNext w:val="0"/>
              <w:keepLines w:val="0"/>
              <w:pageBreakBefore w:val="0"/>
              <w:widowControl w:val="0"/>
              <w:wordWrap/>
              <w:topLinePunct w:val="0"/>
              <w:bidi w:val="0"/>
              <w:spacing w:line="240" w:lineRule="auto"/>
              <w:jc w:val="center"/>
              <w:rPr>
                <w:rFonts w:hint="default" w:ascii="Times New Roman" w:hAnsi="Times New Roman" w:cs="Times New Roman"/>
                <w:color w:val="auto"/>
                <w:kern w:val="15"/>
                <w:highlight w:val="none"/>
              </w:rPr>
            </w:pPr>
            <w:r>
              <w:rPr>
                <w:rFonts w:hint="default" w:ascii="Times New Roman" w:hAnsi="Times New Roman" w:cs="Times New Roman"/>
                <w:color w:val="auto"/>
                <w:kern w:val="15"/>
                <w:highlight w:val="none"/>
              </w:rPr>
              <w:t>5/f</w:t>
            </w:r>
          </w:p>
        </w:tc>
        <w:tc>
          <w:tcPr>
            <w:tcW w:w="1267" w:type="dxa"/>
            <w:tcBorders>
              <w:top w:val="single" w:color="auto" w:sz="4" w:space="0"/>
              <w:left w:val="single" w:color="auto" w:sz="4" w:space="0"/>
              <w:bottom w:val="single" w:color="auto" w:sz="4" w:space="0"/>
            </w:tcBorders>
            <w:noWrap w:val="0"/>
            <w:vAlign w:val="center"/>
          </w:tcPr>
          <w:p w14:paraId="6ED6E64C">
            <w:pPr>
              <w:keepNext w:val="0"/>
              <w:keepLines w:val="0"/>
              <w:pageBreakBefore w:val="0"/>
              <w:widowControl w:val="0"/>
              <w:wordWrap/>
              <w:topLinePunct w:val="0"/>
              <w:bidi w:val="0"/>
              <w:spacing w:line="240" w:lineRule="auto"/>
              <w:jc w:val="center"/>
              <w:rPr>
                <w:rFonts w:hint="default" w:ascii="Times New Roman" w:hAnsi="Times New Roman" w:cs="Times New Roman"/>
                <w:color w:val="auto"/>
                <w:kern w:val="15"/>
                <w:highlight w:val="none"/>
              </w:rPr>
            </w:pPr>
            <w:r>
              <w:rPr>
                <w:rFonts w:hint="default" w:ascii="Times New Roman" w:hAnsi="Times New Roman" w:cs="Times New Roman"/>
                <w:color w:val="auto"/>
                <w:kern w:val="15"/>
                <w:highlight w:val="none"/>
              </w:rPr>
              <w:t>f代表频率</w:t>
            </w:r>
          </w:p>
        </w:tc>
      </w:tr>
      <w:tr w14:paraId="18418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7" w:type="dxa"/>
            <w:tcBorders>
              <w:top w:val="single" w:color="auto" w:sz="4" w:space="0"/>
              <w:bottom w:val="single" w:color="auto" w:sz="4" w:space="0"/>
              <w:right w:val="single" w:color="auto" w:sz="4" w:space="0"/>
            </w:tcBorders>
            <w:noWrap w:val="0"/>
            <w:vAlign w:val="center"/>
          </w:tcPr>
          <w:p w14:paraId="0BF179DA">
            <w:pPr>
              <w:keepNext w:val="0"/>
              <w:keepLines w:val="0"/>
              <w:pageBreakBefore w:val="0"/>
              <w:widowControl w:val="0"/>
              <w:wordWrap/>
              <w:topLinePunct w:val="0"/>
              <w:bidi w:val="0"/>
              <w:spacing w:line="240" w:lineRule="auto"/>
              <w:jc w:val="center"/>
              <w:rPr>
                <w:rFonts w:hint="default" w:ascii="Times New Roman" w:hAnsi="Times New Roman" w:eastAsia="宋体" w:cs="Times New Roman"/>
                <w:color w:val="auto"/>
                <w:kern w:val="15"/>
                <w:highlight w:val="none"/>
                <w:lang w:val="en-US" w:eastAsia="zh-CN"/>
              </w:rPr>
            </w:pPr>
            <w:r>
              <w:rPr>
                <w:rFonts w:hint="eastAsia" w:cs="Times New Roman"/>
                <w:color w:val="auto"/>
                <w:kern w:val="15"/>
                <w:highlight w:val="none"/>
                <w:lang w:val="en-US" w:eastAsia="zh-CN"/>
              </w:rPr>
              <w:t>220</w:t>
            </w:r>
            <w:r>
              <w:rPr>
                <w:rFonts w:hint="default" w:ascii="Times New Roman" w:hAnsi="Times New Roman" w:cs="Times New Roman"/>
                <w:color w:val="auto"/>
                <w:kern w:val="15"/>
                <w:highlight w:val="none"/>
                <w:lang w:val="en-US" w:eastAsia="zh-CN"/>
              </w:rPr>
              <w:t>kV</w:t>
            </w:r>
          </w:p>
        </w:tc>
        <w:tc>
          <w:tcPr>
            <w:tcW w:w="1969" w:type="dxa"/>
            <w:tcBorders>
              <w:top w:val="single" w:color="auto" w:sz="4" w:space="0"/>
              <w:left w:val="single" w:color="auto" w:sz="4" w:space="0"/>
              <w:bottom w:val="single" w:color="auto" w:sz="4" w:space="0"/>
              <w:right w:val="single" w:color="auto" w:sz="4" w:space="0"/>
            </w:tcBorders>
            <w:noWrap w:val="0"/>
            <w:vAlign w:val="center"/>
          </w:tcPr>
          <w:p w14:paraId="0FDD355A">
            <w:pPr>
              <w:keepNext w:val="0"/>
              <w:keepLines w:val="0"/>
              <w:pageBreakBefore w:val="0"/>
              <w:widowControl w:val="0"/>
              <w:wordWrap/>
              <w:topLinePunct w:val="0"/>
              <w:bidi w:val="0"/>
              <w:spacing w:line="240" w:lineRule="auto"/>
              <w:jc w:val="center"/>
              <w:rPr>
                <w:rFonts w:hint="default" w:ascii="Times New Roman" w:hAnsi="Times New Roman" w:cs="Times New Roman"/>
                <w:color w:val="auto"/>
                <w:kern w:val="15"/>
                <w:highlight w:val="none"/>
              </w:rPr>
            </w:pPr>
            <w:r>
              <w:rPr>
                <w:rFonts w:hint="default" w:ascii="Times New Roman" w:hAnsi="Times New Roman" w:cs="Times New Roman"/>
                <w:color w:val="auto"/>
                <w:kern w:val="15"/>
                <w:highlight w:val="none"/>
              </w:rPr>
              <w:t>0.05kHz(50Hz)</w:t>
            </w:r>
          </w:p>
        </w:tc>
        <w:tc>
          <w:tcPr>
            <w:tcW w:w="1357" w:type="dxa"/>
            <w:tcBorders>
              <w:top w:val="single" w:color="auto" w:sz="4" w:space="0"/>
              <w:left w:val="single" w:color="auto" w:sz="4" w:space="0"/>
              <w:bottom w:val="single" w:color="auto" w:sz="4" w:space="0"/>
              <w:right w:val="single" w:color="auto" w:sz="4" w:space="0"/>
            </w:tcBorders>
            <w:noWrap w:val="0"/>
            <w:vAlign w:val="center"/>
          </w:tcPr>
          <w:p w14:paraId="2B320960">
            <w:pPr>
              <w:keepNext w:val="0"/>
              <w:keepLines w:val="0"/>
              <w:pageBreakBefore w:val="0"/>
              <w:widowControl w:val="0"/>
              <w:wordWrap/>
              <w:topLinePunct w:val="0"/>
              <w:bidi w:val="0"/>
              <w:spacing w:line="240" w:lineRule="auto"/>
              <w:jc w:val="center"/>
              <w:rPr>
                <w:rFonts w:hint="default" w:ascii="Times New Roman" w:hAnsi="Times New Roman" w:cs="Times New Roman"/>
                <w:color w:val="auto"/>
                <w:kern w:val="15"/>
                <w:highlight w:val="none"/>
              </w:rPr>
            </w:pPr>
            <w:r>
              <w:rPr>
                <w:rFonts w:hint="default" w:ascii="Times New Roman" w:hAnsi="Times New Roman" w:cs="Times New Roman"/>
                <w:color w:val="auto"/>
                <w:kern w:val="15"/>
                <w:highlight w:val="none"/>
              </w:rPr>
              <w:t>4000V/m</w:t>
            </w:r>
          </w:p>
        </w:tc>
        <w:tc>
          <w:tcPr>
            <w:tcW w:w="1469" w:type="dxa"/>
            <w:tcBorders>
              <w:top w:val="single" w:color="auto" w:sz="4" w:space="0"/>
              <w:left w:val="single" w:color="auto" w:sz="4" w:space="0"/>
              <w:bottom w:val="single" w:color="auto" w:sz="4" w:space="0"/>
              <w:right w:val="single" w:color="auto" w:sz="4" w:space="0"/>
            </w:tcBorders>
            <w:noWrap w:val="0"/>
            <w:vAlign w:val="center"/>
          </w:tcPr>
          <w:p w14:paraId="51C0735C">
            <w:pPr>
              <w:keepNext w:val="0"/>
              <w:keepLines w:val="0"/>
              <w:pageBreakBefore w:val="0"/>
              <w:widowControl w:val="0"/>
              <w:wordWrap/>
              <w:topLinePunct w:val="0"/>
              <w:bidi w:val="0"/>
              <w:spacing w:line="240" w:lineRule="auto"/>
              <w:jc w:val="center"/>
              <w:rPr>
                <w:rFonts w:hint="default" w:ascii="Times New Roman" w:hAnsi="Times New Roman" w:cs="Times New Roman"/>
                <w:color w:val="auto"/>
                <w:kern w:val="15"/>
                <w:highlight w:val="none"/>
              </w:rPr>
            </w:pPr>
            <w:r>
              <w:rPr>
                <w:rFonts w:hint="default" w:ascii="Times New Roman" w:hAnsi="Times New Roman" w:cs="Times New Roman"/>
                <w:color w:val="auto"/>
                <w:kern w:val="15"/>
                <w:highlight w:val="none"/>
              </w:rPr>
              <w:t>100μT</w:t>
            </w:r>
          </w:p>
        </w:tc>
        <w:tc>
          <w:tcPr>
            <w:tcW w:w="1267" w:type="dxa"/>
            <w:tcBorders>
              <w:top w:val="single" w:color="auto" w:sz="4" w:space="0"/>
              <w:left w:val="single" w:color="auto" w:sz="4" w:space="0"/>
              <w:bottom w:val="single" w:color="auto" w:sz="4" w:space="0"/>
            </w:tcBorders>
            <w:noWrap w:val="0"/>
            <w:vAlign w:val="center"/>
          </w:tcPr>
          <w:p w14:paraId="0DE2699B">
            <w:pPr>
              <w:keepNext w:val="0"/>
              <w:keepLines w:val="0"/>
              <w:pageBreakBefore w:val="0"/>
              <w:widowControl w:val="0"/>
              <w:wordWrap/>
              <w:topLinePunct w:val="0"/>
              <w:bidi w:val="0"/>
              <w:spacing w:line="240" w:lineRule="auto"/>
              <w:jc w:val="center"/>
              <w:rPr>
                <w:rFonts w:hint="default" w:ascii="Times New Roman" w:hAnsi="Times New Roman" w:cs="Times New Roman"/>
                <w:color w:val="auto"/>
                <w:kern w:val="15"/>
                <w:highlight w:val="none"/>
              </w:rPr>
            </w:pPr>
            <w:r>
              <w:rPr>
                <w:rFonts w:hint="default" w:ascii="Times New Roman" w:hAnsi="Times New Roman" w:cs="Times New Roman"/>
                <w:color w:val="auto"/>
                <w:kern w:val="15"/>
                <w:highlight w:val="none"/>
              </w:rPr>
              <w:t>——</w:t>
            </w:r>
          </w:p>
        </w:tc>
      </w:tr>
    </w:tbl>
    <w:p w14:paraId="1A0A1A3F">
      <w:pPr>
        <w:pStyle w:val="3"/>
        <w:keepNext w:val="0"/>
        <w:keepLines w:val="0"/>
        <w:pageBreakBefore w:val="0"/>
        <w:widowControl w:val="0"/>
        <w:kinsoku/>
        <w:wordWrap/>
        <w:overflowPunct/>
        <w:topLinePunct w:val="0"/>
        <w:autoSpaceDE/>
        <w:autoSpaceDN/>
        <w:bidi w:val="0"/>
        <w:adjustRightInd w:val="0"/>
        <w:snapToGrid w:val="0"/>
        <w:spacing w:before="161" w:beforeLines="50" w:after="0" w:line="360" w:lineRule="auto"/>
        <w:textAlignment w:val="auto"/>
        <w:rPr>
          <w:rFonts w:hint="default" w:ascii="Times New Roman" w:hAnsi="Times New Roman" w:eastAsia="宋体" w:cs="Times New Roman"/>
          <w:color w:val="auto"/>
          <w:sz w:val="28"/>
          <w:highlight w:val="none"/>
        </w:rPr>
      </w:pPr>
      <w:bookmarkStart w:id="161" w:name="_Toc23672"/>
      <w:bookmarkStart w:id="162" w:name="_Toc48914451"/>
      <w:r>
        <w:rPr>
          <w:rFonts w:hint="default" w:ascii="Times New Roman" w:hAnsi="Times New Roman" w:eastAsia="宋体" w:cs="Times New Roman"/>
          <w:color w:val="auto"/>
          <w:sz w:val="28"/>
          <w:highlight w:val="none"/>
        </w:rPr>
        <w:t>1.</w:t>
      </w:r>
      <w:r>
        <w:rPr>
          <w:rFonts w:hint="default" w:ascii="Times New Roman" w:hAnsi="Times New Roman" w:eastAsia="宋体" w:cs="Times New Roman"/>
          <w:color w:val="auto"/>
          <w:sz w:val="28"/>
          <w:highlight w:val="none"/>
          <w:lang w:val="en-US" w:eastAsia="zh-CN"/>
        </w:rPr>
        <w:t>6</w:t>
      </w:r>
      <w:r>
        <w:rPr>
          <w:rFonts w:hint="default" w:ascii="Times New Roman" w:hAnsi="Times New Roman" w:eastAsia="宋体" w:cs="Times New Roman"/>
          <w:color w:val="auto"/>
          <w:sz w:val="28"/>
          <w:highlight w:val="none"/>
        </w:rPr>
        <w:t>环境保护目标</w:t>
      </w:r>
      <w:bookmarkEnd w:id="161"/>
      <w:bookmarkEnd w:id="162"/>
    </w:p>
    <w:p w14:paraId="57A7054B">
      <w:pPr>
        <w:keepNext w:val="0"/>
        <w:keepLines w:val="0"/>
        <w:pageBreakBefore w:val="0"/>
        <w:widowControl w:val="0"/>
        <w:wordWrap/>
        <w:topLinePunct w:val="0"/>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lang w:val="zh-CN"/>
        </w:rPr>
      </w:pPr>
      <w:bookmarkStart w:id="163" w:name="_Toc25444"/>
      <w:bookmarkStart w:id="164" w:name="_Toc24"/>
      <w:bookmarkStart w:id="165" w:name="_Toc6991"/>
      <w:bookmarkStart w:id="166" w:name="_Toc25980"/>
      <w:bookmarkStart w:id="167" w:name="_Toc48914452"/>
      <w:bookmarkStart w:id="168" w:name="_Toc30731"/>
      <w:bookmarkStart w:id="169" w:name="_Toc6116"/>
      <w:bookmarkStart w:id="170" w:name="_Toc9731"/>
      <w:r>
        <w:rPr>
          <w:rFonts w:hint="default" w:ascii="Times New Roman" w:hAnsi="Times New Roman" w:eastAsia="宋体" w:cs="Times New Roman"/>
          <w:color w:val="auto"/>
          <w:sz w:val="24"/>
          <w:highlight w:val="none"/>
          <w:lang w:val="zh-CN"/>
        </w:rPr>
        <w:t>根据《建设项目环境影响评价分类管理目录（</w:t>
      </w:r>
      <w:r>
        <w:rPr>
          <w:rFonts w:hint="default" w:ascii="Times New Roman" w:hAnsi="Times New Roman" w:eastAsia="宋体" w:cs="Times New Roman"/>
          <w:color w:val="auto"/>
          <w:sz w:val="24"/>
          <w:highlight w:val="none"/>
          <w:lang w:val="en-US" w:eastAsia="zh-CN"/>
        </w:rPr>
        <w:t>2021年版</w:t>
      </w:r>
      <w:r>
        <w:rPr>
          <w:rFonts w:hint="default"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highlight w:val="none"/>
          <w:lang w:val="en-US" w:eastAsia="zh-CN"/>
        </w:rPr>
        <w:t>本</w:t>
      </w:r>
      <w:r>
        <w:rPr>
          <w:rFonts w:hint="default" w:ascii="Times New Roman" w:hAnsi="Times New Roman" w:eastAsia="宋体" w:cs="Times New Roman"/>
          <w:color w:val="auto"/>
          <w:sz w:val="24"/>
          <w:highlight w:val="none"/>
          <w:lang w:val="zh-CN"/>
        </w:rPr>
        <w:t>项目环境敏感目标为：</w:t>
      </w:r>
    </w:p>
    <w:p w14:paraId="40DEE71D">
      <w:pPr>
        <w:keepNext w:val="0"/>
        <w:keepLines w:val="0"/>
        <w:pageBreakBefore w:val="0"/>
        <w:widowControl w:val="0"/>
        <w:wordWrap/>
        <w:topLinePunct w:val="0"/>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(一)</w:t>
      </w:r>
      <w:r>
        <w:rPr>
          <w:rFonts w:hint="default" w:ascii="Times New Roman" w:hAnsi="Times New Roman" w:eastAsia="宋体" w:cs="Times New Roman"/>
          <w:color w:val="auto"/>
          <w:sz w:val="24"/>
          <w:highlight w:val="none"/>
          <w:lang w:val="en-US" w:eastAsia="zh-CN"/>
        </w:rPr>
        <w:t>国家公园、自然保护区、风景名胜区、世界文化和自然遗产地、海洋特别保护区、饮用水水源保护区；</w:t>
      </w:r>
    </w:p>
    <w:p w14:paraId="239E0493">
      <w:pPr>
        <w:keepNext w:val="0"/>
        <w:keepLines w:val="0"/>
        <w:pageBreakBefore w:val="0"/>
        <w:widowControl w:val="0"/>
        <w:wordWrap/>
        <w:topLinePunct w:val="0"/>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zh-CN"/>
        </w:rPr>
        <w:t>(三)</w:t>
      </w:r>
      <w:r>
        <w:rPr>
          <w:rFonts w:hint="default" w:ascii="Times New Roman" w:hAnsi="Times New Roman" w:eastAsia="宋体" w:cs="Times New Roman"/>
          <w:color w:val="auto"/>
          <w:sz w:val="24"/>
          <w:highlight w:val="none"/>
          <w:lang w:val="en-US" w:eastAsia="zh-CN"/>
        </w:rPr>
        <w:t>以居住、医疗卫生、文化教育、科研、行政办公为主要功能的区域，以及文物保护单位。</w:t>
      </w:r>
    </w:p>
    <w:p w14:paraId="664A148A">
      <w:pPr>
        <w:keepNext w:val="0"/>
        <w:keepLines w:val="0"/>
        <w:pageBreakBefore w:val="0"/>
        <w:widowControl w:val="0"/>
        <w:wordWrap/>
        <w:topLinePunct w:val="0"/>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sz w:val="24"/>
          <w:highlight w:val="none"/>
          <w:lang w:val="en-US" w:eastAsia="zh-CN"/>
        </w:rPr>
        <w:t>结合项目实际情况，本项目环评范围内无环境保护目标。</w:t>
      </w:r>
    </w:p>
    <w:p w14:paraId="1C29D360">
      <w:pPr>
        <w:pStyle w:val="2"/>
        <w:keepNext w:val="0"/>
        <w:keepLines w:val="0"/>
        <w:pageBreakBefore w:val="0"/>
        <w:widowControl w:val="0"/>
        <w:tabs>
          <w:tab w:val="left" w:pos="425"/>
        </w:tabs>
        <w:wordWrap/>
        <w:topLinePunct w:val="0"/>
        <w:bidi w:val="0"/>
        <w:spacing w:before="159" w:line="460" w:lineRule="exact"/>
        <w:rPr>
          <w:rFonts w:hint="default" w:ascii="Times New Roman" w:hAnsi="Times New Roman" w:cs="Times New Roman"/>
          <w:b/>
          <w:bCs/>
          <w:color w:val="auto"/>
          <w:highlight w:val="none"/>
        </w:rPr>
      </w:pPr>
      <w:bookmarkStart w:id="171" w:name="_Toc7845"/>
      <w:r>
        <w:rPr>
          <w:rFonts w:hint="default" w:ascii="Times New Roman" w:hAnsi="Times New Roman" w:cs="Times New Roman"/>
          <w:b/>
          <w:bCs/>
          <w:color w:val="auto"/>
          <w:highlight w:val="none"/>
        </w:rPr>
        <w:t>2电磁环境现状监测与评价</w:t>
      </w:r>
      <w:bookmarkEnd w:id="163"/>
      <w:bookmarkEnd w:id="164"/>
      <w:bookmarkEnd w:id="165"/>
      <w:bookmarkEnd w:id="166"/>
      <w:bookmarkEnd w:id="167"/>
      <w:bookmarkEnd w:id="168"/>
      <w:bookmarkEnd w:id="169"/>
      <w:bookmarkEnd w:id="170"/>
      <w:bookmarkEnd w:id="171"/>
    </w:p>
    <w:p w14:paraId="7AC8C97F">
      <w:pPr>
        <w:pStyle w:val="3"/>
        <w:keepNext w:val="0"/>
        <w:keepLines w:val="0"/>
        <w:pageBreakBefore w:val="0"/>
        <w:widowControl w:val="0"/>
        <w:kinsoku/>
        <w:wordWrap/>
        <w:overflowPunct/>
        <w:topLinePunct w:val="0"/>
        <w:autoSpaceDE/>
        <w:autoSpaceDN/>
        <w:bidi w:val="0"/>
        <w:snapToGrid w:val="0"/>
        <w:spacing w:before="0" w:beforeLines="0" w:after="0" w:afterLines="0" w:line="360" w:lineRule="auto"/>
        <w:textAlignment w:val="auto"/>
        <w:rPr>
          <w:rFonts w:hint="default" w:ascii="Times New Roman" w:hAnsi="Times New Roman" w:eastAsia="宋体" w:cs="Times New Roman"/>
          <w:color w:val="auto"/>
          <w:sz w:val="28"/>
          <w:highlight w:val="none"/>
        </w:rPr>
      </w:pPr>
      <w:bookmarkStart w:id="172" w:name="_Toc48914453"/>
      <w:r>
        <w:rPr>
          <w:rFonts w:hint="default" w:ascii="Times New Roman" w:hAnsi="Times New Roman" w:eastAsia="宋体" w:cs="Times New Roman"/>
          <w:color w:val="auto"/>
          <w:sz w:val="28"/>
          <w:highlight w:val="none"/>
        </w:rPr>
        <w:t>2.1监测因子</w:t>
      </w:r>
      <w:bookmarkEnd w:id="172"/>
    </w:p>
    <w:p w14:paraId="72B41638">
      <w:pPr>
        <w:keepNext w:val="0"/>
        <w:keepLines w:val="0"/>
        <w:pageBreakBefore w:val="0"/>
        <w:widowControl w:val="0"/>
        <w:wordWrap/>
        <w:topLinePunct w:val="0"/>
        <w:bidi w:val="0"/>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工频电场、工频磁场。</w:t>
      </w:r>
    </w:p>
    <w:p w14:paraId="2F0B70F1">
      <w:pPr>
        <w:pStyle w:val="3"/>
        <w:keepNext w:val="0"/>
        <w:keepLines w:val="0"/>
        <w:pageBreakBefore w:val="0"/>
        <w:widowControl w:val="0"/>
        <w:kinsoku/>
        <w:wordWrap/>
        <w:overflowPunct/>
        <w:topLinePunct w:val="0"/>
        <w:autoSpaceDE/>
        <w:autoSpaceDN/>
        <w:bidi w:val="0"/>
        <w:snapToGrid w:val="0"/>
        <w:spacing w:before="0" w:beforeLines="0" w:after="0" w:afterLines="0" w:line="360" w:lineRule="auto"/>
        <w:textAlignment w:val="auto"/>
        <w:rPr>
          <w:rFonts w:hint="default" w:ascii="Times New Roman" w:hAnsi="Times New Roman" w:eastAsia="宋体" w:cs="Times New Roman"/>
          <w:color w:val="auto"/>
          <w:sz w:val="28"/>
          <w:highlight w:val="none"/>
        </w:rPr>
      </w:pPr>
      <w:bookmarkStart w:id="173" w:name="_Toc48914454"/>
      <w:r>
        <w:rPr>
          <w:rFonts w:hint="default" w:ascii="Times New Roman" w:hAnsi="Times New Roman" w:eastAsia="宋体" w:cs="Times New Roman"/>
          <w:color w:val="auto"/>
          <w:sz w:val="28"/>
          <w:highlight w:val="none"/>
        </w:rPr>
        <w:t>2.2监测方法及布点</w:t>
      </w:r>
      <w:bookmarkEnd w:id="173"/>
    </w:p>
    <w:p w14:paraId="0279A676">
      <w:pPr>
        <w:keepNext w:val="0"/>
        <w:keepLines w:val="0"/>
        <w:pageBreakBefore w:val="0"/>
        <w:widowControl w:val="0"/>
        <w:wordWrap/>
        <w:topLinePunct w:val="0"/>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bookmarkStart w:id="174" w:name="_Toc48914455"/>
      <w:r>
        <w:rPr>
          <w:rFonts w:hint="default" w:ascii="Times New Roman" w:hAnsi="Times New Roman" w:eastAsia="宋体" w:cs="Times New Roman"/>
          <w:color w:val="auto"/>
          <w:sz w:val="24"/>
          <w:highlight w:val="none"/>
          <w:lang w:val="en-US" w:eastAsia="zh-CN"/>
        </w:rPr>
        <w:t>监测方法：《交流输变电工程电磁环境监测办法(试行)》(HJ681-2013)。</w:t>
      </w:r>
    </w:p>
    <w:p w14:paraId="5DE6445F">
      <w:pPr>
        <w:keepNext w:val="0"/>
        <w:keepLines w:val="0"/>
        <w:pageBreakBefore w:val="0"/>
        <w:widowControl w:val="0"/>
        <w:wordWrap/>
        <w:topLinePunct w:val="0"/>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布点原则：根据《环境影响评价技术导则 输变电》(HJ24-2020)的要求，本次</w:t>
      </w:r>
      <w:r>
        <w:rPr>
          <w:rFonts w:hint="default" w:ascii="Times New Roman" w:hAnsi="Times New Roman" w:eastAsia="宋体" w:cs="Times New Roman"/>
          <w:color w:val="auto"/>
          <w:kern w:val="2"/>
          <w:sz w:val="24"/>
          <w:szCs w:val="24"/>
          <w:highlight w:val="none"/>
          <w:lang w:val="en-US" w:eastAsia="zh-CN" w:bidi="ar"/>
        </w:rPr>
        <w:t>在</w:t>
      </w:r>
      <w:r>
        <w:rPr>
          <w:rFonts w:hint="default" w:ascii="Times New Roman" w:hAnsi="Times New Roman" w:eastAsia="宋体" w:cs="Times New Roman"/>
          <w:bCs/>
          <w:color w:val="auto"/>
          <w:sz w:val="24"/>
          <w:szCs w:val="24"/>
          <w:highlight w:val="none"/>
          <w:lang w:val="en-US" w:eastAsia="zh-CN"/>
        </w:rPr>
        <w:t>220kV升压站</w:t>
      </w:r>
      <w:r>
        <w:rPr>
          <w:rFonts w:hint="eastAsia" w:ascii="Times New Roman" w:hAnsi="Times New Roman" w:eastAsia="宋体" w:cs="Times New Roman"/>
          <w:bCs/>
          <w:color w:val="auto"/>
          <w:sz w:val="24"/>
          <w:szCs w:val="24"/>
          <w:highlight w:val="none"/>
          <w:lang w:val="en-US" w:eastAsia="zh-CN"/>
        </w:rPr>
        <w:t>围墙四周</w:t>
      </w:r>
      <w:r>
        <w:rPr>
          <w:rFonts w:hint="default" w:ascii="Times New Roman" w:hAnsi="Times New Roman" w:eastAsia="宋体" w:cs="Times New Roman"/>
          <w:bCs/>
          <w:color w:val="auto"/>
          <w:sz w:val="24"/>
          <w:szCs w:val="24"/>
          <w:highlight w:val="none"/>
          <w:lang w:val="en-US" w:eastAsia="zh-CN"/>
        </w:rPr>
        <w:t>布置监测点，共计</w:t>
      </w:r>
      <w:r>
        <w:rPr>
          <w:rFonts w:hint="eastAsia" w:ascii="Times New Roman" w:hAnsi="Times New Roman" w:eastAsia="宋体"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lang w:val="en-US" w:eastAsia="zh-CN"/>
        </w:rPr>
        <w:t>个点位</w:t>
      </w:r>
      <w:r>
        <w:rPr>
          <w:rFonts w:hint="default" w:ascii="Times New Roman" w:hAnsi="Times New Roman" w:eastAsia="宋体" w:cs="Times New Roman"/>
          <w:color w:val="auto"/>
          <w:sz w:val="24"/>
          <w:highlight w:val="none"/>
          <w:lang w:val="en-US" w:eastAsia="zh-CN"/>
        </w:rPr>
        <w:t>，具体点位见图1。</w:t>
      </w:r>
    </w:p>
    <w:p w14:paraId="2ED9B0F0">
      <w:pPr>
        <w:keepNext w:val="0"/>
        <w:keepLines w:val="0"/>
        <w:pageBreakBefore w:val="0"/>
        <w:widowControl w:val="0"/>
        <w:wordWrap/>
        <w:topLinePunct w:val="0"/>
        <w:autoSpaceDE w:val="0"/>
        <w:autoSpaceDN w:val="0"/>
        <w:bidi w:val="0"/>
        <w:adjustRightInd w:val="0"/>
        <w:snapToGrid w:val="0"/>
        <w:spacing w:line="240" w:lineRule="auto"/>
        <w:rPr>
          <w:rFonts w:hint="default" w:ascii="Times New Roman" w:hAnsi="Times New Roman" w:cs="Times New Roman"/>
          <w:color w:val="auto"/>
          <w:highlight w:val="none"/>
        </w:rPr>
      </w:pPr>
      <w:r>
        <w:drawing>
          <wp:anchor distT="0" distB="0" distL="114300" distR="114300" simplePos="0" relativeHeight="251670528" behindDoc="0" locked="0" layoutInCell="1" allowOverlap="1">
            <wp:simplePos x="0" y="0"/>
            <wp:positionH relativeFrom="column">
              <wp:posOffset>4167505</wp:posOffset>
            </wp:positionH>
            <wp:positionV relativeFrom="paragraph">
              <wp:posOffset>23495</wp:posOffset>
            </wp:positionV>
            <wp:extent cx="870585" cy="672465"/>
            <wp:effectExtent l="9525" t="9525" r="15240" b="22860"/>
            <wp:wrapNone/>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pic:cNvPicPr>
                  </pic:nvPicPr>
                  <pic:blipFill>
                    <a:blip r:embed="rId15"/>
                    <a:stretch>
                      <a:fillRect/>
                    </a:stretch>
                  </pic:blipFill>
                  <pic:spPr>
                    <a:xfrm>
                      <a:off x="0" y="0"/>
                      <a:ext cx="870585" cy="672465"/>
                    </a:xfrm>
                    <a:prstGeom prst="rect">
                      <a:avLst/>
                    </a:prstGeom>
                    <a:noFill/>
                    <a:ln w="9525" cap="flat" cmpd="sng">
                      <a:solidFill>
                        <a:srgbClr val="000000"/>
                      </a:solidFill>
                      <a:prstDash val="solid"/>
                      <a:miter/>
                      <a:headEnd type="none" w="med" len="med"/>
                      <a:tailEnd type="none" w="med" len="med"/>
                    </a:ln>
                  </pic:spPr>
                </pic:pic>
              </a:graphicData>
            </a:graphic>
          </wp:anchor>
        </w:drawing>
      </w:r>
      <w:r>
        <w:drawing>
          <wp:inline distT="0" distB="0" distL="114300" distR="114300">
            <wp:extent cx="5045075" cy="3041650"/>
            <wp:effectExtent l="12700" t="12700" r="28575" b="12700"/>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23"/>
                    <a:stretch>
                      <a:fillRect/>
                    </a:stretch>
                  </pic:blipFill>
                  <pic:spPr>
                    <a:xfrm>
                      <a:off x="0" y="0"/>
                      <a:ext cx="5045075" cy="3041650"/>
                    </a:xfrm>
                    <a:prstGeom prst="rect">
                      <a:avLst/>
                    </a:prstGeom>
                    <a:noFill/>
                    <a:ln w="12700" cap="flat" cmpd="sng">
                      <a:solidFill>
                        <a:srgbClr val="000000"/>
                      </a:solidFill>
                      <a:prstDash val="solid"/>
                      <a:miter/>
                      <a:headEnd type="none" w="med" len="med"/>
                      <a:tailEnd type="none" w="med" len="med"/>
                    </a:ln>
                  </pic:spPr>
                </pic:pic>
              </a:graphicData>
            </a:graphic>
          </wp:inline>
        </w:drawing>
      </w:r>
    </w:p>
    <w:p w14:paraId="701C7DF1">
      <w:pPr>
        <w:pStyle w:val="17"/>
        <w:keepNext w:val="0"/>
        <w:keepLines w:val="0"/>
        <w:pageBreakBefore w:val="0"/>
        <w:widowControl w:val="0"/>
        <w:wordWrap/>
        <w:topLinePunct w:val="0"/>
        <w:bidi w:val="0"/>
        <w:spacing w:line="240" w:lineRule="auto"/>
        <w:ind w:left="0" w:lef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eastAsia="宋体" w:cs="Times New Roman"/>
          <w:b/>
          <w:bCs/>
          <w:color w:val="auto"/>
          <w:sz w:val="21"/>
          <w:szCs w:val="21"/>
          <w:highlight w:val="none"/>
          <w:lang w:val="en-US" w:eastAsia="zh-CN"/>
        </w:rPr>
        <w:t>图1    电磁环境监测布点图</w:t>
      </w:r>
    </w:p>
    <w:bookmarkEnd w:id="174"/>
    <w:p w14:paraId="6500C9F7">
      <w:pPr>
        <w:pStyle w:val="3"/>
        <w:keepNext w:val="0"/>
        <w:keepLines w:val="0"/>
        <w:pageBreakBefore w:val="0"/>
        <w:widowControl w:val="0"/>
        <w:wordWrap/>
        <w:topLinePunct w:val="0"/>
        <w:bidi w:val="0"/>
        <w:snapToGrid w:val="0"/>
        <w:spacing w:before="0" w:after="0" w:line="360" w:lineRule="auto"/>
        <w:rPr>
          <w:rFonts w:hint="default" w:ascii="Times New Roman" w:hAnsi="Times New Roman" w:eastAsia="宋体" w:cs="Times New Roman"/>
          <w:b/>
          <w:color w:val="auto"/>
          <w:kern w:val="2"/>
          <w:sz w:val="28"/>
          <w:szCs w:val="24"/>
          <w:highlight w:val="none"/>
          <w:lang w:val="en-US" w:eastAsia="zh-CN" w:bidi="ar-SA"/>
        </w:rPr>
      </w:pPr>
      <w:bookmarkStart w:id="175" w:name="_Toc48914457"/>
      <w:r>
        <w:rPr>
          <w:rFonts w:hint="default" w:ascii="Times New Roman" w:hAnsi="Times New Roman" w:eastAsia="宋体" w:cs="Times New Roman"/>
          <w:b/>
          <w:color w:val="auto"/>
          <w:kern w:val="2"/>
          <w:sz w:val="28"/>
          <w:szCs w:val="24"/>
          <w:highlight w:val="none"/>
          <w:lang w:val="en-US" w:eastAsia="zh-CN" w:bidi="ar-SA"/>
        </w:rPr>
        <w:t>2.3监测结果</w:t>
      </w:r>
      <w:bookmarkEnd w:id="175"/>
    </w:p>
    <w:p w14:paraId="5429A6FC">
      <w:pPr>
        <w:keepNext w:val="0"/>
        <w:keepLines w:val="0"/>
        <w:pageBreakBefore w:val="0"/>
        <w:widowControl w:val="0"/>
        <w:wordWrap/>
        <w:topLinePunct w:val="0"/>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工频电场强度、磁感应强度监测结果，见表3。</w:t>
      </w:r>
    </w:p>
    <w:p w14:paraId="44052C27">
      <w:pPr>
        <w:keepNext w:val="0"/>
        <w:keepLines w:val="0"/>
        <w:pageBreakBefore w:val="0"/>
        <w:widowControl w:val="0"/>
        <w:kinsoku/>
        <w:wordWrap/>
        <w:overflowPunct/>
        <w:topLinePunct w:val="0"/>
        <w:autoSpaceDE/>
        <w:autoSpaceDN/>
        <w:bidi w:val="0"/>
        <w:adjustRightInd w:val="0"/>
        <w:snapToGrid w:val="0"/>
        <w:spacing w:line="240" w:lineRule="auto"/>
        <w:ind w:firstLine="2108" w:firstLineChars="1000"/>
        <w:jc w:val="both"/>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w:t>
      </w:r>
      <w:r>
        <w:rPr>
          <w:rFonts w:hint="default" w:ascii="Times New Roman" w:hAnsi="Times New Roman" w:cs="Times New Roman"/>
          <w:b/>
          <w:color w:val="auto"/>
          <w:sz w:val="21"/>
          <w:szCs w:val="21"/>
          <w:highlight w:val="none"/>
          <w:lang w:val="en-US" w:eastAsia="zh-CN"/>
        </w:rPr>
        <w:t>3</w:t>
      </w:r>
      <w:r>
        <w:rPr>
          <w:rFonts w:hint="default" w:ascii="Times New Roman" w:hAnsi="Times New Roman" w:cs="Times New Roman"/>
          <w:b/>
          <w:color w:val="auto"/>
          <w:sz w:val="21"/>
          <w:szCs w:val="21"/>
          <w:highlight w:val="none"/>
        </w:rPr>
        <w:t xml:space="preserve">      电磁环境现状监测结果</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8"/>
        <w:gridCol w:w="2128"/>
        <w:gridCol w:w="2129"/>
        <w:gridCol w:w="2134"/>
      </w:tblGrid>
      <w:tr w14:paraId="2E978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Merge w:val="restart"/>
            <w:noWrap w:val="0"/>
            <w:vAlign w:val="center"/>
          </w:tcPr>
          <w:p w14:paraId="2252ED52">
            <w:pPr>
              <w:keepNext w:val="0"/>
              <w:keepLines w:val="0"/>
              <w:pageBreakBefore w:val="0"/>
              <w:widowControl w:val="0"/>
              <w:wordWrap/>
              <w:topLinePunct w:val="0"/>
              <w:bidi w:val="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序号</w:t>
            </w:r>
          </w:p>
        </w:tc>
        <w:tc>
          <w:tcPr>
            <w:tcW w:w="1249" w:type="pct"/>
            <w:vMerge w:val="restart"/>
            <w:noWrap w:val="0"/>
            <w:vAlign w:val="center"/>
          </w:tcPr>
          <w:p w14:paraId="6B60FEB5">
            <w:pPr>
              <w:keepNext w:val="0"/>
              <w:keepLines w:val="0"/>
              <w:pageBreakBefore w:val="0"/>
              <w:widowControl w:val="0"/>
              <w:wordWrap/>
              <w:topLinePunct w:val="0"/>
              <w:bidi w:val="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点位</w:t>
            </w:r>
          </w:p>
        </w:tc>
        <w:tc>
          <w:tcPr>
            <w:tcW w:w="2501" w:type="pct"/>
            <w:gridSpan w:val="2"/>
            <w:noWrap w:val="0"/>
            <w:vAlign w:val="center"/>
          </w:tcPr>
          <w:p w14:paraId="04392E27">
            <w:pPr>
              <w:keepNext w:val="0"/>
              <w:keepLines w:val="0"/>
              <w:pageBreakBefore w:val="0"/>
              <w:widowControl w:val="0"/>
              <w:wordWrap/>
              <w:topLinePunct w:val="0"/>
              <w:bidi w:val="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val="en-US" w:eastAsia="zh-CN"/>
              </w:rPr>
              <w:t>检测结果</w:t>
            </w:r>
          </w:p>
        </w:tc>
      </w:tr>
      <w:tr w14:paraId="578DF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Merge w:val="continue"/>
            <w:noWrap w:val="0"/>
            <w:vAlign w:val="center"/>
          </w:tcPr>
          <w:p w14:paraId="07244780">
            <w:pPr>
              <w:keepNext w:val="0"/>
              <w:keepLines w:val="0"/>
              <w:pageBreakBefore w:val="0"/>
              <w:widowControl w:val="0"/>
              <w:wordWrap/>
              <w:topLinePunct w:val="0"/>
              <w:bidi w:val="0"/>
              <w:jc w:val="center"/>
              <w:rPr>
                <w:rFonts w:hint="default" w:ascii="Times New Roman" w:hAnsi="Times New Roman" w:eastAsia="宋体" w:cs="Times New Roman"/>
                <w:color w:val="auto"/>
                <w:sz w:val="21"/>
                <w:szCs w:val="21"/>
                <w:highlight w:val="none"/>
                <w:vertAlign w:val="baseline"/>
                <w:lang w:val="en-US" w:eastAsia="zh-CN"/>
              </w:rPr>
            </w:pPr>
          </w:p>
        </w:tc>
        <w:tc>
          <w:tcPr>
            <w:tcW w:w="1249" w:type="pct"/>
            <w:vMerge w:val="continue"/>
            <w:noWrap w:val="0"/>
            <w:vAlign w:val="center"/>
          </w:tcPr>
          <w:p w14:paraId="117053AC">
            <w:pPr>
              <w:keepNext w:val="0"/>
              <w:keepLines w:val="0"/>
              <w:pageBreakBefore w:val="0"/>
              <w:widowControl w:val="0"/>
              <w:wordWrap/>
              <w:topLinePunct w:val="0"/>
              <w:bidi w:val="0"/>
              <w:jc w:val="center"/>
              <w:rPr>
                <w:rFonts w:hint="default" w:ascii="Times New Roman" w:hAnsi="Times New Roman" w:eastAsia="宋体" w:cs="Times New Roman"/>
                <w:color w:val="auto"/>
                <w:sz w:val="21"/>
                <w:szCs w:val="21"/>
                <w:highlight w:val="none"/>
                <w:vertAlign w:val="baseline"/>
                <w:lang w:val="en-US" w:eastAsia="zh-CN"/>
              </w:rPr>
            </w:pPr>
          </w:p>
        </w:tc>
        <w:tc>
          <w:tcPr>
            <w:tcW w:w="1249" w:type="pct"/>
            <w:noWrap w:val="0"/>
            <w:vAlign w:val="center"/>
          </w:tcPr>
          <w:p w14:paraId="393E6732">
            <w:pPr>
              <w:keepNext w:val="0"/>
              <w:keepLines w:val="0"/>
              <w:pageBreakBefore w:val="0"/>
              <w:widowControl w:val="0"/>
              <w:wordWrap/>
              <w:topLinePunct w:val="0"/>
              <w:bidi w:val="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工频电场强度（V/m）</w:t>
            </w:r>
          </w:p>
        </w:tc>
        <w:tc>
          <w:tcPr>
            <w:tcW w:w="1251" w:type="pct"/>
            <w:noWrap w:val="0"/>
            <w:vAlign w:val="center"/>
          </w:tcPr>
          <w:p w14:paraId="56E7A4A2">
            <w:pPr>
              <w:keepNext w:val="0"/>
              <w:keepLines w:val="0"/>
              <w:pageBreakBefore w:val="0"/>
              <w:widowControl w:val="0"/>
              <w:wordWrap/>
              <w:topLinePunct w:val="0"/>
              <w:bidi w:val="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磁感应强度（uT）</w:t>
            </w:r>
          </w:p>
        </w:tc>
      </w:tr>
      <w:tr w14:paraId="17AE3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noWrap w:val="0"/>
            <w:vAlign w:val="center"/>
          </w:tcPr>
          <w:p w14:paraId="53753936">
            <w:pPr>
              <w:keepNext w:val="0"/>
              <w:keepLines w:val="0"/>
              <w:pageBreakBefore w:val="0"/>
              <w:widowControl w:val="0"/>
              <w:wordWrap/>
              <w:topLinePunct w:val="0"/>
              <w:bidi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1#</w:t>
            </w:r>
          </w:p>
        </w:tc>
        <w:tc>
          <w:tcPr>
            <w:tcW w:w="1249" w:type="pct"/>
            <w:noWrap w:val="0"/>
            <w:vAlign w:val="center"/>
          </w:tcPr>
          <w:p w14:paraId="58F8155F">
            <w:pPr>
              <w:keepNext w:val="0"/>
              <w:keepLines w:val="0"/>
              <w:pageBreakBefore w:val="0"/>
              <w:widowControl w:val="0"/>
              <w:wordWrap/>
              <w:topLinePunct w:val="0"/>
              <w:bidi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升压站</w:t>
            </w:r>
            <w:r>
              <w:rPr>
                <w:rFonts w:hint="default" w:ascii="Times New Roman" w:hAnsi="Times New Roman" w:eastAsia="宋体" w:cs="Times New Roman"/>
                <w:color w:val="auto"/>
                <w:sz w:val="21"/>
                <w:szCs w:val="21"/>
                <w:highlight w:val="none"/>
                <w:vertAlign w:val="baseline"/>
                <w:lang w:val="en-US" w:eastAsia="zh-CN"/>
              </w:rPr>
              <w:t>厂界东</w:t>
            </w:r>
            <w:r>
              <w:rPr>
                <w:rFonts w:hint="eastAsia" w:eastAsia="宋体" w:cs="Times New Roman"/>
                <w:color w:val="auto"/>
                <w:sz w:val="21"/>
                <w:szCs w:val="21"/>
                <w:highlight w:val="none"/>
                <w:vertAlign w:val="baseline"/>
                <w:lang w:val="en-US" w:eastAsia="zh-CN"/>
              </w:rPr>
              <w:t>侧</w:t>
            </w:r>
          </w:p>
        </w:tc>
        <w:tc>
          <w:tcPr>
            <w:tcW w:w="1249" w:type="pct"/>
            <w:noWrap w:val="0"/>
            <w:vAlign w:val="center"/>
          </w:tcPr>
          <w:p w14:paraId="73D54D25">
            <w:pPr>
              <w:keepNext w:val="0"/>
              <w:keepLines w:val="0"/>
              <w:pageBreakBefore w:val="0"/>
              <w:widowControl w:val="0"/>
              <w:wordWrap/>
              <w:topLinePunct w:val="0"/>
              <w:bidi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0.37</w:t>
            </w:r>
          </w:p>
        </w:tc>
        <w:tc>
          <w:tcPr>
            <w:tcW w:w="1251" w:type="pct"/>
            <w:noWrap w:val="0"/>
            <w:vAlign w:val="center"/>
          </w:tcPr>
          <w:p w14:paraId="2222EEF4">
            <w:pPr>
              <w:keepNext w:val="0"/>
              <w:keepLines w:val="0"/>
              <w:pageBreakBefore w:val="0"/>
              <w:widowControl w:val="0"/>
              <w:wordWrap/>
              <w:topLinePunct w:val="0"/>
              <w:bidi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0.0106</w:t>
            </w:r>
          </w:p>
        </w:tc>
      </w:tr>
      <w:tr w14:paraId="26EEC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noWrap w:val="0"/>
            <w:vAlign w:val="center"/>
          </w:tcPr>
          <w:p w14:paraId="6EA31489">
            <w:pPr>
              <w:keepNext w:val="0"/>
              <w:keepLines w:val="0"/>
              <w:pageBreakBefore w:val="0"/>
              <w:widowControl w:val="0"/>
              <w:wordWrap/>
              <w:topLinePunct w:val="0"/>
              <w:bidi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2#</w:t>
            </w:r>
          </w:p>
        </w:tc>
        <w:tc>
          <w:tcPr>
            <w:tcW w:w="1249" w:type="pct"/>
            <w:noWrap w:val="0"/>
            <w:vAlign w:val="center"/>
          </w:tcPr>
          <w:p w14:paraId="10897DEC">
            <w:pPr>
              <w:keepNext w:val="0"/>
              <w:keepLines w:val="0"/>
              <w:pageBreakBefore w:val="0"/>
              <w:widowControl w:val="0"/>
              <w:wordWrap/>
              <w:topLinePunct w:val="0"/>
              <w:bidi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升压站</w:t>
            </w:r>
            <w:r>
              <w:rPr>
                <w:rFonts w:hint="default" w:ascii="Times New Roman" w:hAnsi="Times New Roman" w:eastAsia="宋体" w:cs="Times New Roman"/>
                <w:color w:val="auto"/>
                <w:sz w:val="21"/>
                <w:szCs w:val="21"/>
                <w:highlight w:val="none"/>
                <w:vertAlign w:val="baseline"/>
                <w:lang w:val="en-US" w:eastAsia="zh-CN"/>
              </w:rPr>
              <w:t>厂界</w:t>
            </w:r>
            <w:r>
              <w:rPr>
                <w:rFonts w:hint="eastAsia" w:ascii="Times New Roman" w:hAnsi="Times New Roman" w:eastAsia="宋体" w:cs="Times New Roman"/>
                <w:color w:val="auto"/>
                <w:sz w:val="21"/>
                <w:szCs w:val="21"/>
                <w:highlight w:val="none"/>
                <w:vertAlign w:val="baseline"/>
                <w:lang w:val="en-US" w:eastAsia="zh-CN"/>
              </w:rPr>
              <w:t>南</w:t>
            </w:r>
            <w:r>
              <w:rPr>
                <w:rFonts w:hint="eastAsia" w:eastAsia="宋体" w:cs="Times New Roman"/>
                <w:color w:val="auto"/>
                <w:sz w:val="21"/>
                <w:szCs w:val="21"/>
                <w:highlight w:val="none"/>
                <w:vertAlign w:val="baseline"/>
                <w:lang w:val="en-US" w:eastAsia="zh-CN"/>
              </w:rPr>
              <w:t>侧</w:t>
            </w:r>
          </w:p>
        </w:tc>
        <w:tc>
          <w:tcPr>
            <w:tcW w:w="1249" w:type="pct"/>
            <w:noWrap w:val="0"/>
            <w:vAlign w:val="center"/>
          </w:tcPr>
          <w:p w14:paraId="47FE9736">
            <w:pPr>
              <w:keepNext w:val="0"/>
              <w:keepLines w:val="0"/>
              <w:pageBreakBefore w:val="0"/>
              <w:widowControl w:val="0"/>
              <w:wordWrap/>
              <w:topLinePunct w:val="0"/>
              <w:bidi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0.29</w:t>
            </w:r>
          </w:p>
        </w:tc>
        <w:tc>
          <w:tcPr>
            <w:tcW w:w="1251" w:type="pct"/>
            <w:noWrap w:val="0"/>
            <w:vAlign w:val="center"/>
          </w:tcPr>
          <w:p w14:paraId="70E52EE6">
            <w:pPr>
              <w:keepNext w:val="0"/>
              <w:keepLines w:val="0"/>
              <w:pageBreakBefore w:val="0"/>
              <w:widowControl w:val="0"/>
              <w:wordWrap/>
              <w:topLinePunct w:val="0"/>
              <w:bidi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0.0094</w:t>
            </w:r>
          </w:p>
        </w:tc>
      </w:tr>
      <w:tr w14:paraId="536C9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noWrap w:val="0"/>
            <w:vAlign w:val="center"/>
          </w:tcPr>
          <w:p w14:paraId="58335314">
            <w:pPr>
              <w:keepNext w:val="0"/>
              <w:keepLines w:val="0"/>
              <w:pageBreakBefore w:val="0"/>
              <w:widowControl w:val="0"/>
              <w:wordWrap/>
              <w:topLinePunct w:val="0"/>
              <w:bidi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3#</w:t>
            </w:r>
          </w:p>
        </w:tc>
        <w:tc>
          <w:tcPr>
            <w:tcW w:w="1249" w:type="pct"/>
            <w:noWrap w:val="0"/>
            <w:vAlign w:val="center"/>
          </w:tcPr>
          <w:p w14:paraId="03584292">
            <w:pPr>
              <w:keepNext w:val="0"/>
              <w:keepLines w:val="0"/>
              <w:pageBreakBefore w:val="0"/>
              <w:widowControl w:val="0"/>
              <w:wordWrap/>
              <w:topLinePunct w:val="0"/>
              <w:bidi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升压站</w:t>
            </w:r>
            <w:r>
              <w:rPr>
                <w:rFonts w:hint="default" w:ascii="Times New Roman" w:hAnsi="Times New Roman" w:eastAsia="宋体" w:cs="Times New Roman"/>
                <w:color w:val="auto"/>
                <w:sz w:val="21"/>
                <w:szCs w:val="21"/>
                <w:highlight w:val="none"/>
                <w:vertAlign w:val="baseline"/>
                <w:lang w:val="en-US" w:eastAsia="zh-CN"/>
              </w:rPr>
              <w:t>厂界</w:t>
            </w:r>
            <w:r>
              <w:rPr>
                <w:rFonts w:hint="eastAsia" w:ascii="Times New Roman" w:hAnsi="Times New Roman" w:eastAsia="宋体" w:cs="Times New Roman"/>
                <w:color w:val="auto"/>
                <w:sz w:val="21"/>
                <w:szCs w:val="21"/>
                <w:highlight w:val="none"/>
                <w:vertAlign w:val="baseline"/>
                <w:lang w:val="en-US" w:eastAsia="zh-CN"/>
              </w:rPr>
              <w:t>西</w:t>
            </w:r>
            <w:r>
              <w:rPr>
                <w:rFonts w:hint="eastAsia" w:eastAsia="宋体" w:cs="Times New Roman"/>
                <w:color w:val="auto"/>
                <w:sz w:val="21"/>
                <w:szCs w:val="21"/>
                <w:highlight w:val="none"/>
                <w:vertAlign w:val="baseline"/>
                <w:lang w:val="en-US" w:eastAsia="zh-CN"/>
              </w:rPr>
              <w:t>侧</w:t>
            </w:r>
          </w:p>
        </w:tc>
        <w:tc>
          <w:tcPr>
            <w:tcW w:w="1249" w:type="pct"/>
            <w:noWrap w:val="0"/>
            <w:vAlign w:val="center"/>
          </w:tcPr>
          <w:p w14:paraId="5C781838">
            <w:pPr>
              <w:keepNext w:val="0"/>
              <w:keepLines w:val="0"/>
              <w:pageBreakBefore w:val="0"/>
              <w:widowControl w:val="0"/>
              <w:wordWrap/>
              <w:topLinePunct w:val="0"/>
              <w:bidi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0.39</w:t>
            </w:r>
          </w:p>
        </w:tc>
        <w:tc>
          <w:tcPr>
            <w:tcW w:w="1251" w:type="pct"/>
            <w:noWrap w:val="0"/>
            <w:vAlign w:val="center"/>
          </w:tcPr>
          <w:p w14:paraId="2D718B01">
            <w:pPr>
              <w:keepNext w:val="0"/>
              <w:keepLines w:val="0"/>
              <w:pageBreakBefore w:val="0"/>
              <w:widowControl w:val="0"/>
              <w:wordWrap/>
              <w:topLinePunct w:val="0"/>
              <w:bidi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0.0100</w:t>
            </w:r>
          </w:p>
        </w:tc>
      </w:tr>
      <w:tr w14:paraId="495E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noWrap w:val="0"/>
            <w:vAlign w:val="center"/>
          </w:tcPr>
          <w:p w14:paraId="128FF232">
            <w:pPr>
              <w:keepNext w:val="0"/>
              <w:keepLines w:val="0"/>
              <w:pageBreakBefore w:val="0"/>
              <w:widowControl w:val="0"/>
              <w:wordWrap/>
              <w:topLinePunct w:val="0"/>
              <w:bidi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4#</w:t>
            </w:r>
          </w:p>
        </w:tc>
        <w:tc>
          <w:tcPr>
            <w:tcW w:w="1249" w:type="pct"/>
            <w:noWrap w:val="0"/>
            <w:vAlign w:val="center"/>
          </w:tcPr>
          <w:p w14:paraId="6AD51D70">
            <w:pPr>
              <w:keepNext w:val="0"/>
              <w:keepLines w:val="0"/>
              <w:pageBreakBefore w:val="0"/>
              <w:widowControl w:val="0"/>
              <w:wordWrap/>
              <w:topLinePunct w:val="0"/>
              <w:bidi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升压站</w:t>
            </w:r>
            <w:r>
              <w:rPr>
                <w:rFonts w:hint="default" w:ascii="Times New Roman" w:hAnsi="Times New Roman" w:eastAsia="宋体" w:cs="Times New Roman"/>
                <w:color w:val="auto"/>
                <w:sz w:val="21"/>
                <w:szCs w:val="21"/>
                <w:highlight w:val="none"/>
                <w:vertAlign w:val="baseline"/>
                <w:lang w:val="en-US" w:eastAsia="zh-CN"/>
              </w:rPr>
              <w:t>厂界</w:t>
            </w:r>
            <w:r>
              <w:rPr>
                <w:rFonts w:hint="eastAsia" w:ascii="Times New Roman" w:hAnsi="Times New Roman" w:eastAsia="宋体" w:cs="Times New Roman"/>
                <w:color w:val="auto"/>
                <w:sz w:val="21"/>
                <w:szCs w:val="21"/>
                <w:highlight w:val="none"/>
                <w:vertAlign w:val="baseline"/>
                <w:lang w:val="en-US" w:eastAsia="zh-CN"/>
              </w:rPr>
              <w:t>北</w:t>
            </w:r>
            <w:r>
              <w:rPr>
                <w:rFonts w:hint="eastAsia" w:eastAsia="宋体" w:cs="Times New Roman"/>
                <w:color w:val="auto"/>
                <w:sz w:val="21"/>
                <w:szCs w:val="21"/>
                <w:highlight w:val="none"/>
                <w:vertAlign w:val="baseline"/>
                <w:lang w:val="en-US" w:eastAsia="zh-CN"/>
              </w:rPr>
              <w:t>侧</w:t>
            </w:r>
          </w:p>
        </w:tc>
        <w:tc>
          <w:tcPr>
            <w:tcW w:w="1249" w:type="pct"/>
            <w:noWrap w:val="0"/>
            <w:vAlign w:val="center"/>
          </w:tcPr>
          <w:p w14:paraId="59E4FC5C">
            <w:pPr>
              <w:keepNext w:val="0"/>
              <w:keepLines w:val="0"/>
              <w:pageBreakBefore w:val="0"/>
              <w:widowControl w:val="0"/>
              <w:wordWrap/>
              <w:topLinePunct w:val="0"/>
              <w:bidi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0.33</w:t>
            </w:r>
          </w:p>
        </w:tc>
        <w:tc>
          <w:tcPr>
            <w:tcW w:w="1251" w:type="pct"/>
            <w:noWrap w:val="0"/>
            <w:vAlign w:val="center"/>
          </w:tcPr>
          <w:p w14:paraId="333ECF69">
            <w:pPr>
              <w:keepNext w:val="0"/>
              <w:keepLines w:val="0"/>
              <w:pageBreakBefore w:val="0"/>
              <w:widowControl w:val="0"/>
              <w:wordWrap/>
              <w:topLinePunct w:val="0"/>
              <w:bidi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0.0098</w:t>
            </w:r>
          </w:p>
        </w:tc>
      </w:tr>
      <w:tr w14:paraId="5E9B2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8" w:type="pct"/>
            <w:gridSpan w:val="2"/>
            <w:noWrap w:val="0"/>
            <w:vAlign w:val="center"/>
          </w:tcPr>
          <w:p w14:paraId="1E87369F">
            <w:pPr>
              <w:keepNext w:val="0"/>
              <w:keepLines w:val="0"/>
              <w:pageBreakBefore w:val="0"/>
              <w:widowControl w:val="0"/>
              <w:wordWrap/>
              <w:topLinePunct w:val="0"/>
              <w:bidi w:val="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rPr>
              <w:t>《电磁环境控制限值》(GB8702-2014)</w:t>
            </w:r>
          </w:p>
        </w:tc>
        <w:tc>
          <w:tcPr>
            <w:tcW w:w="1249" w:type="pct"/>
            <w:noWrap w:val="0"/>
            <w:vAlign w:val="center"/>
          </w:tcPr>
          <w:p w14:paraId="3C9F5E11">
            <w:pPr>
              <w:keepNext w:val="0"/>
              <w:keepLines w:val="0"/>
              <w:pageBreakBefore w:val="0"/>
              <w:widowControl w:val="0"/>
              <w:wordWrap/>
              <w:topLinePunct w:val="0"/>
              <w:bidi w:val="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4000</w:t>
            </w:r>
          </w:p>
        </w:tc>
        <w:tc>
          <w:tcPr>
            <w:tcW w:w="1251" w:type="pct"/>
            <w:noWrap w:val="0"/>
            <w:vAlign w:val="center"/>
          </w:tcPr>
          <w:p w14:paraId="629C7C6A">
            <w:pPr>
              <w:keepNext w:val="0"/>
              <w:keepLines w:val="0"/>
              <w:pageBreakBefore w:val="0"/>
              <w:widowControl w:val="0"/>
              <w:wordWrap/>
              <w:topLinePunct w:val="0"/>
              <w:bidi w:val="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100</w:t>
            </w:r>
          </w:p>
        </w:tc>
      </w:tr>
    </w:tbl>
    <w:p w14:paraId="345EF159">
      <w:pPr>
        <w:keepNext w:val="0"/>
        <w:keepLines w:val="0"/>
        <w:pageBreakBefore w:val="0"/>
        <w:widowControl w:val="0"/>
        <w:wordWrap/>
        <w:topLinePunct w:val="0"/>
        <w:bidi w:val="0"/>
        <w:adjustRightInd w:val="0"/>
        <w:snapToGrid w:val="0"/>
        <w:spacing w:line="490" w:lineRule="exact"/>
        <w:ind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由表</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分析可知，</w:t>
      </w:r>
      <w:r>
        <w:rPr>
          <w:rFonts w:hint="default" w:ascii="Times New Roman" w:hAnsi="Times New Roman" w:cs="Times New Roman"/>
          <w:color w:val="auto"/>
          <w:sz w:val="24"/>
          <w:highlight w:val="none"/>
          <w:lang w:eastAsia="zh-CN"/>
        </w:rPr>
        <w:t>本项目监测点</w:t>
      </w:r>
      <w:r>
        <w:rPr>
          <w:rFonts w:hint="default" w:ascii="Times New Roman" w:hAnsi="Times New Roman" w:cs="Times New Roman"/>
          <w:color w:val="auto"/>
          <w:sz w:val="24"/>
          <w:highlight w:val="none"/>
        </w:rPr>
        <w:t>工频电场强度</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磁感应强度均满足《电磁环境控制限值》(GB8702-2014)中的公众曝露控制限值(电场强度≤4000V/m；磁感应强度≤100μT)。</w:t>
      </w:r>
    </w:p>
    <w:p w14:paraId="1ACC8D33">
      <w:pPr>
        <w:pStyle w:val="2"/>
        <w:keepNext w:val="0"/>
        <w:keepLines w:val="0"/>
        <w:pageBreakBefore w:val="0"/>
        <w:widowControl w:val="0"/>
        <w:tabs>
          <w:tab w:val="left" w:pos="425"/>
        </w:tabs>
        <w:wordWrap/>
        <w:topLinePunct w:val="0"/>
        <w:bidi w:val="0"/>
        <w:spacing w:before="159" w:line="460" w:lineRule="exact"/>
        <w:rPr>
          <w:rFonts w:hint="default" w:ascii="Times New Roman" w:hAnsi="Times New Roman" w:eastAsia="黑体" w:cs="Times New Roman"/>
          <w:bCs/>
          <w:color w:val="auto"/>
          <w:highlight w:val="none"/>
          <w:lang w:val="en-US" w:eastAsia="zh-CN"/>
        </w:rPr>
      </w:pPr>
      <w:bookmarkStart w:id="176" w:name="_Toc22126"/>
      <w:bookmarkStart w:id="177" w:name="_Toc4278"/>
      <w:bookmarkStart w:id="178" w:name="_Toc10977"/>
      <w:bookmarkStart w:id="179" w:name="_Toc15700"/>
      <w:bookmarkStart w:id="180" w:name="_Toc27374"/>
      <w:bookmarkStart w:id="181" w:name="_Toc513746303"/>
      <w:bookmarkStart w:id="182" w:name="_Toc2813154"/>
      <w:r>
        <w:rPr>
          <w:rFonts w:hint="default" w:ascii="Times New Roman" w:hAnsi="Times New Roman" w:cs="Times New Roman"/>
          <w:bCs/>
          <w:color w:val="auto"/>
          <w:highlight w:val="none"/>
        </w:rPr>
        <w:t>3电磁环境影响预测</w:t>
      </w:r>
      <w:bookmarkEnd w:id="176"/>
      <w:r>
        <w:rPr>
          <w:rFonts w:hint="eastAsia" w:cs="Times New Roman"/>
          <w:bCs/>
          <w:color w:val="auto"/>
          <w:highlight w:val="none"/>
          <w:lang w:val="en-US" w:eastAsia="zh-CN"/>
        </w:rPr>
        <w:t>与评价</w:t>
      </w:r>
      <w:bookmarkEnd w:id="177"/>
    </w:p>
    <w:p w14:paraId="032A7558">
      <w:pPr>
        <w:keepNext w:val="0"/>
        <w:keepLines w:val="0"/>
        <w:pageBreakBefore w:val="0"/>
        <w:widowControl w:val="0"/>
        <w:wordWrap/>
        <w:topLinePunct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根据《环境影响评价技术导则 输变电》(HJ24-2020)要求，本项目升压站电磁环境影响评价等级为二级，电磁环境影响采用类比</w:t>
      </w:r>
      <w:r>
        <w:rPr>
          <w:rFonts w:hint="eastAsia" w:ascii="Times New Roman" w:hAnsi="Times New Roman" w:eastAsia="宋体" w:cs="Times New Roman"/>
          <w:color w:val="auto"/>
          <w:sz w:val="24"/>
          <w:highlight w:val="none"/>
          <w:lang w:val="en-US" w:eastAsia="zh-CN"/>
        </w:rPr>
        <w:t>监测</w:t>
      </w:r>
      <w:r>
        <w:rPr>
          <w:rFonts w:hint="default" w:ascii="Times New Roman" w:hAnsi="Times New Roman" w:eastAsia="宋体" w:cs="Times New Roman"/>
          <w:color w:val="auto"/>
          <w:sz w:val="24"/>
          <w:highlight w:val="none"/>
          <w:lang w:val="en-US" w:eastAsia="zh-CN"/>
        </w:rPr>
        <w:t>方式进行预测。</w:t>
      </w:r>
    </w:p>
    <w:p w14:paraId="31ED4C58">
      <w:pPr>
        <w:pStyle w:val="3"/>
        <w:keepNext w:val="0"/>
        <w:keepLines w:val="0"/>
        <w:pageBreakBefore w:val="0"/>
        <w:widowControl w:val="0"/>
        <w:kinsoku/>
        <w:wordWrap/>
        <w:overflowPunct/>
        <w:topLinePunct w:val="0"/>
        <w:autoSpaceDE/>
        <w:autoSpaceDN/>
        <w:bidi w:val="0"/>
        <w:snapToGrid w:val="0"/>
        <w:spacing w:before="0" w:beforeLines="0" w:after="0" w:afterLines="0" w:line="360" w:lineRule="auto"/>
        <w:textAlignment w:val="auto"/>
        <w:rPr>
          <w:rFonts w:hint="default" w:ascii="Times New Roman" w:hAnsi="Times New Roman" w:eastAsia="宋体" w:cs="Times New Roman"/>
          <w:color w:val="auto"/>
          <w:sz w:val="28"/>
          <w:highlight w:val="none"/>
          <w:lang w:val="en-US" w:eastAsia="zh-CN"/>
        </w:rPr>
      </w:pPr>
      <w:r>
        <w:rPr>
          <w:rFonts w:hint="default" w:ascii="Times New Roman" w:hAnsi="Times New Roman" w:eastAsia="宋体" w:cs="Times New Roman"/>
          <w:color w:val="auto"/>
          <w:sz w:val="28"/>
          <w:highlight w:val="none"/>
          <w:lang w:val="en-US" w:eastAsia="zh-CN"/>
        </w:rPr>
        <w:t>3.1类比条件</w:t>
      </w:r>
    </w:p>
    <w:p w14:paraId="297FE0E8">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 xml:space="preserve">本次评价220kV升压站的电磁环境影响评价预测采用类比监测的方法进行。 </w:t>
      </w:r>
    </w:p>
    <w:p w14:paraId="384924DB">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电磁环境类比测量，从严格意义讲，具有完全相同的设备型号（决定了电压等级及额定功率、额定电流等）、布置情况（决定了距离因子）和环境条件是最理想的，即：不仅有相同的主变数和容量，而且一次主接线也相同，布置情况及环境条件也相同。但是要满足这样的条件是很困难的，要解决这一实际困难，可以在关键部分相同，而达到进行类比的条件。所谓关键部分，就是主要的工频电场、工频磁场产生源。</w:t>
      </w:r>
    </w:p>
    <w:p w14:paraId="7FF243E9">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对于围墙外的工频电场，要求最近的高压带电构架布置一致、电压相同，此时就可以认为具有可比性；同样对于变电站围墙外的工频磁场，也要求最近的通流导体的布置和电流相同才具有可比性。实际情况是，工频电场的类比条件相对容易相符，因为变电站主设备和母线电压是基本稳定的，不会随时间和负荷的变化而产生大的变化。但是产生工频磁场的电流却是随负荷变化而有较大的变化。</w:t>
      </w:r>
    </w:p>
    <w:p w14:paraId="1DE7112E">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以往对诸多变电站的电磁环境的类比监测结果，变电站周围的工频磁场场强远小于100μT的限值标准，而变电站围墙外进出线处的工频电场则有可能超过4kV/m。因此建设项目主要针对工频电场选取类比对象。按照类似工程的主变规模、电压等级、布置形式等原则。本次以220kV合盛硅业变电站作为类比对象，该主变压器容量为4×240MVA，电压等级为220kV，为户外布置。类比变电站与本项目主要技术参数对照，见表4。</w:t>
      </w:r>
    </w:p>
    <w:p w14:paraId="4DB43514">
      <w:pPr>
        <w:snapToGrid w:val="0"/>
        <w:spacing w:line="490" w:lineRule="exact"/>
        <w:ind w:firstLine="422" w:firstLineChars="20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4</w:t>
      </w:r>
      <w:r>
        <w:rPr>
          <w:rFonts w:hint="default" w:ascii="Times New Roman" w:hAnsi="Times New Roman" w:eastAsia="宋体" w:cs="Times New Roman"/>
          <w:b/>
          <w:color w:val="auto"/>
          <w:sz w:val="21"/>
          <w:szCs w:val="21"/>
          <w:highlight w:val="none"/>
        </w:rPr>
        <w:t xml:space="preserve">  　</w:t>
      </w:r>
      <w:r>
        <w:rPr>
          <w:rFonts w:hint="eastAsia" w:ascii="Times New Roman" w:hAnsi="Times New Roman" w:eastAsia="宋体" w:cs="Times New Roman"/>
          <w:b/>
          <w:color w:val="auto"/>
          <w:sz w:val="21"/>
          <w:szCs w:val="21"/>
          <w:highlight w:val="none"/>
          <w:lang w:val="en-US" w:eastAsia="zh-CN"/>
        </w:rPr>
        <w:t>主要</w:t>
      </w:r>
      <w:r>
        <w:rPr>
          <w:rFonts w:hint="default" w:ascii="Times New Roman" w:hAnsi="Times New Roman" w:eastAsia="宋体" w:cs="Times New Roman"/>
          <w:b/>
          <w:color w:val="auto"/>
          <w:sz w:val="21"/>
          <w:szCs w:val="21"/>
          <w:highlight w:val="none"/>
        </w:rPr>
        <w:t>技术指标对照表</w:t>
      </w:r>
    </w:p>
    <w:tbl>
      <w:tblPr>
        <w:tblStyle w:val="18"/>
        <w:tblW w:w="83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3582"/>
        <w:gridCol w:w="3631"/>
      </w:tblGrid>
      <w:tr w14:paraId="5A49D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091" w:type="dxa"/>
            <w:tcBorders>
              <w:right w:val="single" w:color="auto" w:sz="4" w:space="0"/>
            </w:tcBorders>
            <w:noWrap w:val="0"/>
            <w:vAlign w:val="center"/>
          </w:tcPr>
          <w:p w14:paraId="6149F9C8">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主要指标</w:t>
            </w:r>
          </w:p>
        </w:tc>
        <w:tc>
          <w:tcPr>
            <w:tcW w:w="3582" w:type="dxa"/>
            <w:tcBorders>
              <w:left w:val="single" w:color="auto" w:sz="4" w:space="0"/>
            </w:tcBorders>
            <w:noWrap w:val="0"/>
            <w:vAlign w:val="center"/>
          </w:tcPr>
          <w:p w14:paraId="6E26FE37">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220kV合盛硅业变电站</w:t>
            </w:r>
          </w:p>
        </w:tc>
        <w:tc>
          <w:tcPr>
            <w:tcW w:w="3631" w:type="dxa"/>
            <w:noWrap w:val="0"/>
            <w:vAlign w:val="center"/>
          </w:tcPr>
          <w:p w14:paraId="1A2A1AA5">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本项目</w:t>
            </w:r>
          </w:p>
        </w:tc>
      </w:tr>
      <w:tr w14:paraId="09E37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1" w:type="dxa"/>
            <w:tcBorders>
              <w:right w:val="single" w:color="auto" w:sz="4" w:space="0"/>
            </w:tcBorders>
            <w:noWrap w:val="0"/>
            <w:vAlign w:val="center"/>
          </w:tcPr>
          <w:p w14:paraId="3DFE7541">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电压等级</w:t>
            </w:r>
          </w:p>
        </w:tc>
        <w:tc>
          <w:tcPr>
            <w:tcW w:w="3582" w:type="dxa"/>
            <w:tcBorders>
              <w:left w:val="single" w:color="auto" w:sz="4" w:space="0"/>
            </w:tcBorders>
            <w:noWrap w:val="0"/>
            <w:vAlign w:val="center"/>
          </w:tcPr>
          <w:p w14:paraId="0B208037">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220kV</w:t>
            </w:r>
          </w:p>
        </w:tc>
        <w:tc>
          <w:tcPr>
            <w:tcW w:w="3631" w:type="dxa"/>
            <w:noWrap w:val="0"/>
            <w:vAlign w:val="center"/>
          </w:tcPr>
          <w:p w14:paraId="22E03BD3">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220kV</w:t>
            </w:r>
          </w:p>
        </w:tc>
      </w:tr>
      <w:tr w14:paraId="1D316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091" w:type="dxa"/>
            <w:tcBorders>
              <w:right w:val="single" w:color="auto" w:sz="4" w:space="0"/>
            </w:tcBorders>
            <w:noWrap w:val="0"/>
            <w:vAlign w:val="center"/>
          </w:tcPr>
          <w:p w14:paraId="4240BC4E">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容量</w:t>
            </w:r>
          </w:p>
        </w:tc>
        <w:tc>
          <w:tcPr>
            <w:tcW w:w="3582" w:type="dxa"/>
            <w:tcBorders>
              <w:left w:val="single" w:color="auto" w:sz="4" w:space="0"/>
            </w:tcBorders>
            <w:noWrap w:val="0"/>
            <w:vAlign w:val="center"/>
          </w:tcPr>
          <w:p w14:paraId="075CB6C5">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highlight w:val="none"/>
                <w:lang w:val="en-US" w:eastAsia="zh-CN"/>
              </w:rPr>
              <w:t>4×240MVA</w:t>
            </w:r>
          </w:p>
        </w:tc>
        <w:tc>
          <w:tcPr>
            <w:tcW w:w="3631" w:type="dxa"/>
            <w:noWrap w:val="0"/>
            <w:vAlign w:val="center"/>
          </w:tcPr>
          <w:p w14:paraId="5529B059">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highlight w:val="none"/>
                <w:lang w:val="en-US" w:eastAsia="zh-CN"/>
              </w:rPr>
              <w:t>2</w:t>
            </w:r>
            <w:r>
              <w:rPr>
                <w:rFonts w:hint="default" w:ascii="Times New Roman" w:hAnsi="Times New Roman" w:eastAsia="宋体" w:cs="Times New Roman"/>
                <w:color w:val="auto"/>
                <w:spacing w:val="0"/>
                <w:sz w:val="21"/>
                <w:szCs w:val="21"/>
                <w:highlight w:val="none"/>
                <w:lang w:val="en-US" w:eastAsia="zh-CN"/>
              </w:rPr>
              <w:t>×240MVA</w:t>
            </w:r>
          </w:p>
        </w:tc>
      </w:tr>
      <w:tr w14:paraId="4CDB9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1" w:type="dxa"/>
            <w:tcBorders>
              <w:right w:val="single" w:color="auto" w:sz="4" w:space="0"/>
            </w:tcBorders>
            <w:noWrap w:val="0"/>
            <w:vAlign w:val="center"/>
          </w:tcPr>
          <w:p w14:paraId="57643CCC">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总平面</w:t>
            </w:r>
          </w:p>
          <w:p w14:paraId="2D46430C">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布置</w:t>
            </w:r>
          </w:p>
        </w:tc>
        <w:tc>
          <w:tcPr>
            <w:tcW w:w="3582" w:type="dxa"/>
            <w:tcBorders>
              <w:left w:val="single" w:color="auto" w:sz="4" w:space="0"/>
            </w:tcBorders>
            <w:noWrap w:val="0"/>
            <w:vAlign w:val="center"/>
          </w:tcPr>
          <w:p w14:paraId="249994AB">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highlight w:val="none"/>
                <w:lang w:val="en-US" w:eastAsia="zh-CN"/>
              </w:rPr>
              <w:t>变电站进站道路为从东侧引入，建设有4台主变、</w:t>
            </w:r>
            <w:r>
              <w:rPr>
                <w:rFonts w:hint="default" w:ascii="Times New Roman" w:hAnsi="Times New Roman" w:eastAsia="宋体" w:cs="Times New Roman"/>
                <w:color w:val="auto"/>
                <w:spacing w:val="0"/>
                <w:sz w:val="21"/>
                <w:szCs w:val="21"/>
                <w:lang w:val="en-US" w:eastAsia="zh-CN"/>
              </w:rPr>
              <w:t xml:space="preserve"> AIS、</w:t>
            </w:r>
            <w:r>
              <w:rPr>
                <w:rFonts w:hint="default" w:ascii="Times New Roman" w:hAnsi="Times New Roman" w:eastAsia="宋体" w:cs="Times New Roman"/>
                <w:bCs/>
                <w:color w:val="auto"/>
                <w:spacing w:val="0"/>
                <w:sz w:val="21"/>
                <w:szCs w:val="21"/>
                <w:highlight w:val="none"/>
                <w:lang w:val="en-US" w:eastAsia="zh-CN"/>
              </w:rPr>
              <w:t>无功补偿装置等</w:t>
            </w:r>
          </w:p>
        </w:tc>
        <w:tc>
          <w:tcPr>
            <w:tcW w:w="3631" w:type="dxa"/>
            <w:noWrap w:val="0"/>
            <w:vAlign w:val="center"/>
          </w:tcPr>
          <w:p w14:paraId="6C0BD820">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bCs/>
                <w:color w:val="auto"/>
                <w:sz w:val="21"/>
                <w:szCs w:val="21"/>
                <w:highlight w:val="none"/>
                <w:lang w:val="en-US" w:eastAsia="zh-CN"/>
              </w:rPr>
              <w:t>升压站内布置有</w:t>
            </w:r>
            <w:r>
              <w:rPr>
                <w:rFonts w:hint="eastAsia" w:ascii="Times New Roman" w:hAnsi="Times New Roman" w:eastAsia="宋体" w:cs="Times New Roman"/>
                <w:color w:val="auto"/>
                <w:sz w:val="21"/>
                <w:szCs w:val="21"/>
                <w:highlight w:val="none"/>
                <w:lang w:val="en-US" w:eastAsia="zh-CN"/>
              </w:rPr>
              <w:t>电气预制舱、GIS构架、SVG、站用变、接地变、备用变等</w:t>
            </w:r>
          </w:p>
        </w:tc>
      </w:tr>
      <w:tr w14:paraId="35C9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1" w:type="dxa"/>
            <w:tcBorders>
              <w:right w:val="single" w:color="auto" w:sz="4" w:space="0"/>
            </w:tcBorders>
            <w:noWrap w:val="0"/>
            <w:vAlign w:val="center"/>
          </w:tcPr>
          <w:p w14:paraId="61473A11">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占地面积</w:t>
            </w:r>
          </w:p>
        </w:tc>
        <w:tc>
          <w:tcPr>
            <w:tcW w:w="3582" w:type="dxa"/>
            <w:tcBorders>
              <w:left w:val="single" w:color="auto" w:sz="4" w:space="0"/>
            </w:tcBorders>
            <w:noWrap w:val="0"/>
            <w:vAlign w:val="center"/>
          </w:tcPr>
          <w:p w14:paraId="7D66EB85">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17258m</w:t>
            </w:r>
            <w:r>
              <w:rPr>
                <w:rFonts w:hint="default" w:ascii="Times New Roman" w:hAnsi="Times New Roman" w:eastAsia="宋体" w:cs="Times New Roman"/>
                <w:color w:val="auto"/>
                <w:spacing w:val="0"/>
                <w:sz w:val="21"/>
                <w:szCs w:val="21"/>
                <w:vertAlign w:val="superscript"/>
                <w:lang w:val="en-US" w:eastAsia="zh-CN"/>
              </w:rPr>
              <w:t>2</w:t>
            </w:r>
          </w:p>
        </w:tc>
        <w:tc>
          <w:tcPr>
            <w:tcW w:w="3631" w:type="dxa"/>
            <w:noWrap w:val="0"/>
            <w:vAlign w:val="center"/>
          </w:tcPr>
          <w:p w14:paraId="5A407F2C">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91134</w:t>
            </w:r>
            <w:r>
              <w:rPr>
                <w:rFonts w:hint="default" w:ascii="Times New Roman" w:hAnsi="Times New Roman" w:eastAsia="宋体" w:cs="Times New Roman"/>
                <w:color w:val="auto"/>
                <w:spacing w:val="0"/>
                <w:sz w:val="21"/>
                <w:szCs w:val="21"/>
                <w:lang w:val="en-US" w:eastAsia="zh-CN"/>
              </w:rPr>
              <w:t>m</w:t>
            </w:r>
            <w:r>
              <w:rPr>
                <w:rFonts w:hint="default" w:ascii="Times New Roman" w:hAnsi="Times New Roman" w:eastAsia="宋体" w:cs="Times New Roman"/>
                <w:color w:val="auto"/>
                <w:spacing w:val="0"/>
                <w:sz w:val="21"/>
                <w:szCs w:val="21"/>
                <w:vertAlign w:val="superscript"/>
                <w:lang w:val="en-US" w:eastAsia="zh-CN"/>
              </w:rPr>
              <w:t>2</w:t>
            </w:r>
          </w:p>
        </w:tc>
      </w:tr>
      <w:tr w14:paraId="3AD91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91" w:type="dxa"/>
            <w:tcBorders>
              <w:right w:val="single" w:color="auto" w:sz="4" w:space="0"/>
            </w:tcBorders>
            <w:noWrap w:val="0"/>
            <w:vAlign w:val="center"/>
          </w:tcPr>
          <w:p w14:paraId="33CBF633">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架线型式</w:t>
            </w:r>
          </w:p>
        </w:tc>
        <w:tc>
          <w:tcPr>
            <w:tcW w:w="3582" w:type="dxa"/>
            <w:tcBorders>
              <w:left w:val="single" w:color="auto" w:sz="4" w:space="0"/>
            </w:tcBorders>
            <w:noWrap w:val="0"/>
            <w:vAlign w:val="center"/>
          </w:tcPr>
          <w:p w14:paraId="4958FB30">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220kV 出线：2回</w:t>
            </w:r>
          </w:p>
        </w:tc>
        <w:tc>
          <w:tcPr>
            <w:tcW w:w="3631" w:type="dxa"/>
            <w:noWrap w:val="0"/>
            <w:vAlign w:val="center"/>
          </w:tcPr>
          <w:p w14:paraId="142220DC">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220kV出线：1回</w:t>
            </w:r>
          </w:p>
        </w:tc>
      </w:tr>
      <w:tr w14:paraId="7F8B6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091" w:type="dxa"/>
            <w:tcBorders>
              <w:right w:val="single" w:color="auto" w:sz="4" w:space="0"/>
            </w:tcBorders>
            <w:noWrap w:val="0"/>
            <w:vAlign w:val="center"/>
          </w:tcPr>
          <w:p w14:paraId="2275F925">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电气形式</w:t>
            </w:r>
          </w:p>
        </w:tc>
        <w:tc>
          <w:tcPr>
            <w:tcW w:w="3582" w:type="dxa"/>
            <w:tcBorders>
              <w:left w:val="single" w:color="auto" w:sz="4" w:space="0"/>
            </w:tcBorders>
            <w:noWrap w:val="0"/>
            <w:vAlign w:val="center"/>
          </w:tcPr>
          <w:p w14:paraId="353095AA">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户外布置 AIS、</w:t>
            </w:r>
            <w:r>
              <w:rPr>
                <w:rFonts w:hint="default" w:ascii="Times New Roman" w:hAnsi="Times New Roman" w:eastAsia="宋体" w:cs="Times New Roman"/>
                <w:bCs/>
                <w:color w:val="auto"/>
                <w:spacing w:val="0"/>
                <w:sz w:val="21"/>
                <w:szCs w:val="21"/>
                <w:highlight w:val="none"/>
                <w:lang w:val="en-US" w:eastAsia="zh-CN"/>
              </w:rPr>
              <w:t>无功补偿装置</w:t>
            </w:r>
          </w:p>
        </w:tc>
        <w:tc>
          <w:tcPr>
            <w:tcW w:w="3631" w:type="dxa"/>
            <w:noWrap w:val="0"/>
            <w:vAlign w:val="center"/>
          </w:tcPr>
          <w:p w14:paraId="4FDBF2CF">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1套</w:t>
            </w:r>
            <w:r>
              <w:rPr>
                <w:rFonts w:hint="eastAsia" w:ascii="Times New Roman" w:hAnsi="Times New Roman" w:eastAsia="宋体" w:cs="Times New Roman"/>
                <w:color w:val="auto"/>
                <w:spacing w:val="-8"/>
                <w:sz w:val="21"/>
                <w:szCs w:val="21"/>
                <w:highlight w:val="none"/>
                <w:lang w:val="en-US" w:eastAsia="zh-CN"/>
              </w:rPr>
              <w:t>无功补偿装置SVG（</w:t>
            </w:r>
            <w:r>
              <w:rPr>
                <w:rFonts w:hint="default" w:ascii="Times New Roman" w:hAnsi="Times New Roman" w:eastAsia="宋体" w:cs="Times New Roman"/>
                <w:color w:val="auto"/>
                <w:spacing w:val="-8"/>
                <w:sz w:val="21"/>
                <w:szCs w:val="21"/>
                <w:highlight w:val="none"/>
                <w:lang w:val="en-US" w:eastAsia="zh-CN"/>
              </w:rPr>
              <w:t>±</w:t>
            </w:r>
            <w:r>
              <w:rPr>
                <w:rFonts w:hint="eastAsia" w:ascii="Times New Roman" w:hAnsi="Times New Roman" w:eastAsia="宋体" w:cs="Times New Roman"/>
                <w:color w:val="auto"/>
                <w:spacing w:val="-8"/>
                <w:sz w:val="21"/>
                <w:szCs w:val="21"/>
                <w:highlight w:val="none"/>
                <w:lang w:val="en-US" w:eastAsia="zh-CN"/>
              </w:rPr>
              <w:t>48Mvar）</w:t>
            </w:r>
          </w:p>
        </w:tc>
      </w:tr>
      <w:tr w14:paraId="40281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091" w:type="dxa"/>
            <w:tcBorders>
              <w:right w:val="single" w:color="auto" w:sz="4" w:space="0"/>
            </w:tcBorders>
            <w:noWrap w:val="0"/>
            <w:vAlign w:val="center"/>
          </w:tcPr>
          <w:p w14:paraId="08E882D8">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母线形式</w:t>
            </w:r>
          </w:p>
        </w:tc>
        <w:tc>
          <w:tcPr>
            <w:tcW w:w="3582" w:type="dxa"/>
            <w:tcBorders>
              <w:left w:val="single" w:color="auto" w:sz="4" w:space="0"/>
            </w:tcBorders>
            <w:noWrap w:val="0"/>
            <w:vAlign w:val="center"/>
          </w:tcPr>
          <w:p w14:paraId="76A8BED0">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双母线接线</w:t>
            </w:r>
          </w:p>
        </w:tc>
        <w:tc>
          <w:tcPr>
            <w:tcW w:w="3631" w:type="dxa"/>
            <w:noWrap w:val="0"/>
            <w:vAlign w:val="center"/>
          </w:tcPr>
          <w:p w14:paraId="7C4D6CC2">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双母线</w:t>
            </w:r>
            <w:r>
              <w:rPr>
                <w:rFonts w:hint="eastAsia" w:ascii="Times New Roman" w:hAnsi="Times New Roman" w:eastAsia="宋体" w:cs="Times New Roman"/>
                <w:color w:val="auto"/>
                <w:spacing w:val="0"/>
                <w:sz w:val="21"/>
                <w:szCs w:val="21"/>
                <w:lang w:val="en-US" w:eastAsia="zh-CN"/>
              </w:rPr>
              <w:t>接线</w:t>
            </w:r>
          </w:p>
        </w:tc>
      </w:tr>
      <w:tr w14:paraId="44CC0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091" w:type="dxa"/>
            <w:tcBorders>
              <w:right w:val="single" w:color="auto" w:sz="4" w:space="0"/>
            </w:tcBorders>
            <w:noWrap w:val="0"/>
            <w:vAlign w:val="center"/>
          </w:tcPr>
          <w:p w14:paraId="051E9B96">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主变布置形式</w:t>
            </w:r>
          </w:p>
        </w:tc>
        <w:tc>
          <w:tcPr>
            <w:tcW w:w="3582" w:type="dxa"/>
            <w:tcBorders>
              <w:left w:val="single" w:color="auto" w:sz="4" w:space="0"/>
            </w:tcBorders>
            <w:noWrap w:val="0"/>
            <w:vAlign w:val="center"/>
          </w:tcPr>
          <w:p w14:paraId="7FC0592B">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户外</w:t>
            </w:r>
          </w:p>
        </w:tc>
        <w:tc>
          <w:tcPr>
            <w:tcW w:w="3631" w:type="dxa"/>
            <w:noWrap w:val="0"/>
            <w:vAlign w:val="center"/>
          </w:tcPr>
          <w:p w14:paraId="48BC0056">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户外</w:t>
            </w:r>
          </w:p>
        </w:tc>
      </w:tr>
      <w:tr w14:paraId="76DAC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091" w:type="dxa"/>
            <w:tcBorders>
              <w:right w:val="single" w:color="auto" w:sz="4" w:space="0"/>
            </w:tcBorders>
            <w:noWrap w:val="0"/>
            <w:vAlign w:val="center"/>
          </w:tcPr>
          <w:p w14:paraId="59529690">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环境条件</w:t>
            </w:r>
          </w:p>
        </w:tc>
        <w:tc>
          <w:tcPr>
            <w:tcW w:w="3582" w:type="dxa"/>
            <w:tcBorders>
              <w:left w:val="single" w:color="auto" w:sz="4" w:space="0"/>
            </w:tcBorders>
            <w:noWrap w:val="0"/>
            <w:vAlign w:val="center"/>
          </w:tcPr>
          <w:p w14:paraId="628177ED">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highlight w:val="none"/>
                <w:lang w:eastAsia="zh-CN"/>
              </w:rPr>
              <w:t>鄯善石材工业园</w:t>
            </w:r>
          </w:p>
        </w:tc>
        <w:tc>
          <w:tcPr>
            <w:tcW w:w="3631" w:type="dxa"/>
            <w:noWrap w:val="0"/>
            <w:vAlign w:val="center"/>
          </w:tcPr>
          <w:p w14:paraId="3C1BEFA1">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甘泉堡工业园区</w:t>
            </w:r>
          </w:p>
        </w:tc>
      </w:tr>
      <w:tr w14:paraId="233FE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091" w:type="dxa"/>
            <w:tcBorders>
              <w:right w:val="single" w:color="auto" w:sz="4" w:space="0"/>
            </w:tcBorders>
            <w:noWrap w:val="0"/>
            <w:vAlign w:val="center"/>
          </w:tcPr>
          <w:p w14:paraId="3C6A57D8">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运行工况</w:t>
            </w:r>
          </w:p>
        </w:tc>
        <w:tc>
          <w:tcPr>
            <w:tcW w:w="3582" w:type="dxa"/>
            <w:tcBorders>
              <w:left w:val="single" w:color="auto" w:sz="4" w:space="0"/>
            </w:tcBorders>
            <w:noWrap w:val="0"/>
            <w:vAlign w:val="center"/>
          </w:tcPr>
          <w:p w14:paraId="382904D8">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正常</w:t>
            </w:r>
            <w:r>
              <w:rPr>
                <w:rFonts w:hint="eastAsia" w:ascii="Times New Roman" w:hAnsi="Times New Roman" w:eastAsia="宋体" w:cs="Times New Roman"/>
                <w:color w:val="auto"/>
                <w:spacing w:val="0"/>
                <w:sz w:val="21"/>
                <w:szCs w:val="21"/>
                <w:lang w:val="en-US" w:eastAsia="zh-CN"/>
              </w:rPr>
              <w:t>工况</w:t>
            </w:r>
          </w:p>
        </w:tc>
        <w:tc>
          <w:tcPr>
            <w:tcW w:w="3631" w:type="dxa"/>
            <w:noWrap w:val="0"/>
            <w:vAlign w:val="center"/>
          </w:tcPr>
          <w:p w14:paraId="493774AC">
            <w:pPr>
              <w:keepNext w:val="0"/>
              <w:keepLines w:val="0"/>
              <w:pageBreakBefore w:val="0"/>
              <w:widowControl w:val="0"/>
              <w:wordWrap/>
              <w:topLinePunct w:val="0"/>
              <w:bidi w:val="0"/>
              <w:adjustRightInd w:val="0"/>
              <w:snapToGrid w:val="0"/>
              <w:spacing w:line="240" w:lineRule="auto"/>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正常</w:t>
            </w:r>
            <w:r>
              <w:rPr>
                <w:rFonts w:hint="eastAsia" w:ascii="Times New Roman" w:hAnsi="Times New Roman" w:eastAsia="宋体" w:cs="Times New Roman"/>
                <w:color w:val="auto"/>
                <w:spacing w:val="0"/>
                <w:sz w:val="21"/>
                <w:szCs w:val="21"/>
                <w:lang w:val="en-US" w:eastAsia="zh-CN"/>
              </w:rPr>
              <w:t>工况</w:t>
            </w:r>
          </w:p>
        </w:tc>
      </w:tr>
    </w:tbl>
    <w:p w14:paraId="358366BA">
      <w:pPr>
        <w:widowControl w:val="0"/>
        <w:autoSpaceDE w:val="0"/>
        <w:autoSpaceDN w:val="0"/>
        <w:adjustRightInd w:val="0"/>
        <w:spacing w:line="240" w:lineRule="exact"/>
        <w:jc w:val="center"/>
        <w:rPr>
          <w:rFonts w:hint="default" w:ascii="Times New Roman" w:hAnsi="Times New Roman" w:eastAsia="宋体" w:cs="Times New Roman"/>
          <w:b/>
          <w:color w:val="auto"/>
          <w:kern w:val="2"/>
          <w:sz w:val="21"/>
          <w:szCs w:val="21"/>
          <w:highlight w:val="none"/>
          <w:lang w:val="en-US" w:eastAsia="zh-CN" w:bidi="ar-SA"/>
        </w:rPr>
      </w:pPr>
    </w:p>
    <w:p w14:paraId="3363BDA4">
      <w:pPr>
        <w:keepNext w:val="0"/>
        <w:keepLines w:val="0"/>
        <w:pageBreakBefore w:val="0"/>
        <w:widowControl w:val="0"/>
        <w:wordWrap/>
        <w:topLinePunct w:val="0"/>
        <w:bidi w:val="0"/>
        <w:snapToGrid w:val="0"/>
        <w:spacing w:line="360" w:lineRule="auto"/>
        <w:ind w:firstLine="456" w:firstLineChars="200"/>
        <w:rPr>
          <w:rFonts w:hint="default" w:ascii="Times New Roman" w:hAnsi="Times New Roman" w:eastAsia="宋体" w:cs="Times New Roman"/>
          <w:color w:val="auto"/>
          <w:spacing w:val="-6"/>
          <w:sz w:val="24"/>
          <w:szCs w:val="24"/>
          <w:highlight w:val="none"/>
        </w:rPr>
      </w:pPr>
      <w:r>
        <w:rPr>
          <w:rFonts w:hint="default" w:ascii="Times New Roman" w:hAnsi="Times New Roman" w:eastAsia="宋体" w:cs="Times New Roman"/>
          <w:color w:val="auto"/>
          <w:spacing w:val="-6"/>
          <w:sz w:val="24"/>
          <w:szCs w:val="24"/>
          <w:highlight w:val="none"/>
        </w:rPr>
        <w:t>由表</w:t>
      </w:r>
      <w:r>
        <w:rPr>
          <w:rFonts w:hint="eastAsia" w:ascii="Times New Roman" w:hAnsi="Times New Roman" w:eastAsia="宋体" w:cs="Times New Roman"/>
          <w:color w:val="auto"/>
          <w:spacing w:val="-6"/>
          <w:sz w:val="24"/>
          <w:szCs w:val="24"/>
          <w:highlight w:val="none"/>
          <w:lang w:val="en-US" w:eastAsia="zh-CN"/>
        </w:rPr>
        <w:t>4</w:t>
      </w:r>
      <w:r>
        <w:rPr>
          <w:rFonts w:hint="default" w:ascii="Times New Roman" w:hAnsi="Times New Roman" w:eastAsia="宋体" w:cs="Times New Roman"/>
          <w:color w:val="auto"/>
          <w:spacing w:val="-6"/>
          <w:sz w:val="24"/>
          <w:szCs w:val="24"/>
          <w:highlight w:val="none"/>
        </w:rPr>
        <w:t>对比分析</w:t>
      </w:r>
      <w:r>
        <w:rPr>
          <w:rFonts w:hint="eastAsia" w:ascii="Times New Roman" w:hAnsi="Times New Roman" w:eastAsia="宋体" w:cs="Times New Roman"/>
          <w:color w:val="auto"/>
          <w:spacing w:val="-6"/>
          <w:sz w:val="24"/>
          <w:szCs w:val="24"/>
          <w:highlight w:val="none"/>
          <w:lang w:val="en-US" w:eastAsia="zh-CN"/>
        </w:rPr>
        <w:t>可知</w:t>
      </w:r>
      <w:r>
        <w:rPr>
          <w:rFonts w:hint="default" w:ascii="Times New Roman" w:hAnsi="Times New Roman" w:eastAsia="宋体" w:cs="Times New Roman"/>
          <w:color w:val="auto"/>
          <w:spacing w:val="-6"/>
          <w:sz w:val="24"/>
          <w:szCs w:val="24"/>
          <w:highlight w:val="none"/>
        </w:rPr>
        <w:t>，选取的类比变电站</w:t>
      </w:r>
      <w:r>
        <w:rPr>
          <w:rFonts w:hint="default" w:ascii="Times New Roman" w:hAnsi="Times New Roman" w:eastAsia="宋体" w:cs="Times New Roman"/>
          <w:color w:val="auto"/>
          <w:spacing w:val="-6"/>
          <w:sz w:val="24"/>
          <w:szCs w:val="24"/>
          <w:highlight w:val="none"/>
          <w:lang w:eastAsia="zh-CN"/>
        </w:rPr>
        <w:t>与本项目</w:t>
      </w:r>
      <w:r>
        <w:rPr>
          <w:rFonts w:hint="eastAsia" w:ascii="Times New Roman" w:hAnsi="Times New Roman" w:eastAsia="宋体" w:cs="Times New Roman"/>
          <w:color w:val="auto"/>
          <w:spacing w:val="-6"/>
          <w:sz w:val="24"/>
          <w:szCs w:val="24"/>
          <w:highlight w:val="none"/>
          <w:lang w:val="en-US" w:eastAsia="zh-CN"/>
        </w:rPr>
        <w:t>升压站</w:t>
      </w:r>
      <w:r>
        <w:rPr>
          <w:rFonts w:hint="default" w:ascii="Times New Roman" w:hAnsi="Times New Roman" w:eastAsia="宋体" w:cs="Times New Roman"/>
          <w:color w:val="auto"/>
          <w:spacing w:val="-6"/>
          <w:sz w:val="24"/>
          <w:szCs w:val="24"/>
          <w:highlight w:val="none"/>
          <w:lang w:val="en-US" w:eastAsia="zh-CN"/>
        </w:rPr>
        <w:t>电压等级、架线型式、电气形式、母线形式</w:t>
      </w:r>
      <w:r>
        <w:rPr>
          <w:rFonts w:hint="eastAsia" w:ascii="Times New Roman" w:hAnsi="Times New Roman" w:eastAsia="宋体" w:cs="Times New Roman"/>
          <w:color w:val="auto"/>
          <w:spacing w:val="-6"/>
          <w:sz w:val="24"/>
          <w:szCs w:val="24"/>
          <w:highlight w:val="none"/>
          <w:lang w:val="en-US" w:eastAsia="zh-CN"/>
        </w:rPr>
        <w:t>等</w:t>
      </w:r>
      <w:r>
        <w:rPr>
          <w:rFonts w:hint="default" w:ascii="Times New Roman" w:hAnsi="Times New Roman" w:eastAsia="宋体" w:cs="Times New Roman"/>
          <w:color w:val="auto"/>
          <w:spacing w:val="-6"/>
          <w:sz w:val="24"/>
          <w:szCs w:val="24"/>
          <w:highlight w:val="none"/>
          <w:lang w:val="en-US" w:eastAsia="zh-CN"/>
        </w:rPr>
        <w:t>类似</w:t>
      </w:r>
      <w:r>
        <w:rPr>
          <w:rFonts w:hint="eastAsia" w:ascii="Times New Roman" w:hAnsi="Times New Roman" w:eastAsia="宋体" w:cs="Times New Roman"/>
          <w:color w:val="auto"/>
          <w:spacing w:val="-6"/>
          <w:sz w:val="24"/>
          <w:szCs w:val="24"/>
          <w:highlight w:val="none"/>
          <w:lang w:val="en-US" w:eastAsia="zh-CN"/>
        </w:rPr>
        <w:t>，类比项目主变容量大于本项目升压站主变容量，</w:t>
      </w:r>
      <w:r>
        <w:rPr>
          <w:rFonts w:hint="default" w:ascii="Times New Roman" w:hAnsi="Times New Roman" w:eastAsia="宋体" w:cs="Times New Roman"/>
          <w:color w:val="auto"/>
          <w:spacing w:val="-6"/>
          <w:sz w:val="24"/>
          <w:szCs w:val="24"/>
          <w:highlight w:val="none"/>
        </w:rPr>
        <w:t>类比具有代表性。</w:t>
      </w:r>
    </w:p>
    <w:p w14:paraId="3AD713D9">
      <w:pPr>
        <w:pStyle w:val="3"/>
        <w:keepNext w:val="0"/>
        <w:keepLines w:val="0"/>
        <w:pageBreakBefore w:val="0"/>
        <w:widowControl w:val="0"/>
        <w:kinsoku/>
        <w:wordWrap/>
        <w:overflowPunct/>
        <w:topLinePunct w:val="0"/>
        <w:autoSpaceDE/>
        <w:autoSpaceDN/>
        <w:bidi w:val="0"/>
        <w:snapToGrid w:val="0"/>
        <w:spacing w:before="0" w:beforeLines="0" w:after="0" w:afterLines="0" w:line="360" w:lineRule="auto"/>
        <w:textAlignment w:val="auto"/>
        <w:rPr>
          <w:rFonts w:hint="default" w:ascii="Times New Roman" w:hAnsi="Times New Roman" w:eastAsia="宋体" w:cs="Times New Roman"/>
          <w:color w:val="auto"/>
          <w:sz w:val="28"/>
          <w:highlight w:val="none"/>
          <w:lang w:val="en-US" w:eastAsia="zh-CN"/>
        </w:rPr>
      </w:pPr>
      <w:bookmarkStart w:id="183" w:name="_Toc13377"/>
      <w:r>
        <w:rPr>
          <w:rFonts w:hint="eastAsia" w:ascii="Times New Roman" w:hAnsi="Times New Roman" w:eastAsia="宋体" w:cs="Times New Roman"/>
          <w:color w:val="auto"/>
          <w:sz w:val="28"/>
          <w:highlight w:val="none"/>
          <w:lang w:val="en-US" w:eastAsia="zh-CN"/>
        </w:rPr>
        <w:t>3.2</w:t>
      </w:r>
      <w:r>
        <w:rPr>
          <w:rFonts w:hint="default" w:ascii="Times New Roman" w:hAnsi="Times New Roman" w:eastAsia="宋体" w:cs="Times New Roman"/>
          <w:color w:val="auto"/>
          <w:sz w:val="28"/>
          <w:highlight w:val="none"/>
          <w:lang w:val="en-US" w:eastAsia="zh-CN"/>
        </w:rPr>
        <w:t>类比分析</w:t>
      </w:r>
      <w:bookmarkEnd w:id="183"/>
    </w:p>
    <w:p w14:paraId="00DF52A4">
      <w:pPr>
        <w:keepNext w:val="0"/>
        <w:keepLines w:val="0"/>
        <w:pageBreakBefore w:val="0"/>
        <w:widowControl w:val="0"/>
        <w:wordWrap/>
        <w:topLinePunct w:val="0"/>
        <w:bidi w:val="0"/>
        <w:snapToGrid w:val="0"/>
        <w:spacing w:line="360" w:lineRule="auto"/>
        <w:ind w:firstLine="456" w:firstLineChars="200"/>
        <w:rPr>
          <w:rFonts w:hint="default" w:ascii="Times New Roman" w:hAnsi="Times New Roman" w:eastAsia="宋体" w:cs="Times New Roman"/>
          <w:color w:val="auto"/>
          <w:spacing w:val="-6"/>
          <w:sz w:val="24"/>
          <w:szCs w:val="24"/>
          <w:highlight w:val="none"/>
          <w:lang w:eastAsia="zh-CN"/>
        </w:rPr>
      </w:pPr>
      <w:r>
        <w:rPr>
          <w:rFonts w:hint="default" w:ascii="Times New Roman" w:hAnsi="Times New Roman" w:eastAsia="宋体" w:cs="Times New Roman"/>
          <w:color w:val="auto"/>
          <w:spacing w:val="-6"/>
          <w:sz w:val="24"/>
          <w:szCs w:val="24"/>
          <w:highlight w:val="none"/>
          <w:lang w:eastAsia="zh-CN"/>
        </w:rPr>
        <w:t>（</w:t>
      </w:r>
      <w:r>
        <w:rPr>
          <w:rFonts w:hint="default" w:ascii="Times New Roman" w:hAnsi="Times New Roman" w:eastAsia="宋体" w:cs="Times New Roman"/>
          <w:color w:val="auto"/>
          <w:spacing w:val="-6"/>
          <w:sz w:val="24"/>
          <w:szCs w:val="24"/>
          <w:highlight w:val="none"/>
          <w:lang w:val="en-US" w:eastAsia="zh-CN"/>
        </w:rPr>
        <w:t>1</w:t>
      </w:r>
      <w:r>
        <w:rPr>
          <w:rFonts w:hint="default" w:ascii="Times New Roman" w:hAnsi="Times New Roman" w:eastAsia="宋体" w:cs="Times New Roman"/>
          <w:color w:val="auto"/>
          <w:spacing w:val="-6"/>
          <w:sz w:val="24"/>
          <w:szCs w:val="24"/>
          <w:highlight w:val="none"/>
          <w:lang w:eastAsia="zh-CN"/>
        </w:rPr>
        <w:t>）类比项目监测因子</w:t>
      </w:r>
    </w:p>
    <w:p w14:paraId="65EC60AD">
      <w:pPr>
        <w:keepNext w:val="0"/>
        <w:keepLines w:val="0"/>
        <w:pageBreakBefore w:val="0"/>
        <w:widowControl w:val="0"/>
        <w:wordWrap/>
        <w:topLinePunct w:val="0"/>
        <w:bidi w:val="0"/>
        <w:snapToGrid w:val="0"/>
        <w:spacing w:line="360" w:lineRule="auto"/>
        <w:ind w:firstLine="456" w:firstLineChars="200"/>
        <w:rPr>
          <w:rFonts w:hint="default" w:ascii="Times New Roman" w:hAnsi="Times New Roman" w:eastAsia="宋体" w:cs="Times New Roman"/>
          <w:color w:val="auto"/>
          <w:spacing w:val="-6"/>
          <w:sz w:val="24"/>
          <w:szCs w:val="24"/>
          <w:highlight w:val="none"/>
          <w:lang w:val="en-US" w:eastAsia="zh-CN"/>
        </w:rPr>
      </w:pPr>
      <w:r>
        <w:rPr>
          <w:rFonts w:hint="default" w:ascii="Times New Roman" w:hAnsi="Times New Roman" w:eastAsia="宋体" w:cs="Times New Roman"/>
          <w:color w:val="auto"/>
          <w:spacing w:val="-6"/>
          <w:sz w:val="24"/>
          <w:szCs w:val="24"/>
          <w:highlight w:val="none"/>
          <w:lang w:val="en-US" w:eastAsia="zh-CN"/>
        </w:rPr>
        <w:t>工频电场、工频磁场</w:t>
      </w:r>
    </w:p>
    <w:p w14:paraId="7F125097">
      <w:pPr>
        <w:keepNext w:val="0"/>
        <w:keepLines w:val="0"/>
        <w:pageBreakBefore w:val="0"/>
        <w:widowControl w:val="0"/>
        <w:wordWrap/>
        <w:topLinePunct w:val="0"/>
        <w:bidi w:val="0"/>
        <w:snapToGrid w:val="0"/>
        <w:spacing w:line="360" w:lineRule="auto"/>
        <w:ind w:firstLine="456" w:firstLineChars="200"/>
        <w:rPr>
          <w:rFonts w:hint="default" w:ascii="Times New Roman" w:hAnsi="Times New Roman" w:eastAsia="宋体" w:cs="Times New Roman"/>
          <w:color w:val="auto"/>
          <w:spacing w:val="-6"/>
          <w:sz w:val="24"/>
          <w:szCs w:val="24"/>
          <w:highlight w:val="none"/>
          <w:lang w:val="en-US" w:eastAsia="zh-CN"/>
        </w:rPr>
      </w:pPr>
      <w:r>
        <w:rPr>
          <w:rFonts w:hint="default" w:ascii="Times New Roman" w:hAnsi="Times New Roman" w:eastAsia="宋体" w:cs="Times New Roman"/>
          <w:color w:val="auto"/>
          <w:spacing w:val="-6"/>
          <w:sz w:val="24"/>
          <w:szCs w:val="24"/>
          <w:highlight w:val="none"/>
          <w:lang w:val="en-US" w:eastAsia="zh-CN"/>
        </w:rPr>
        <w:t>（2）</w:t>
      </w:r>
      <w:r>
        <w:rPr>
          <w:rFonts w:hint="default" w:ascii="Times New Roman" w:hAnsi="Times New Roman" w:eastAsia="宋体" w:cs="Times New Roman"/>
          <w:color w:val="auto"/>
          <w:spacing w:val="-6"/>
          <w:sz w:val="24"/>
          <w:szCs w:val="24"/>
          <w:highlight w:val="none"/>
          <w:lang w:eastAsia="zh-CN"/>
        </w:rPr>
        <w:t>类比项目</w:t>
      </w:r>
      <w:r>
        <w:rPr>
          <w:rFonts w:hint="default" w:ascii="Times New Roman" w:hAnsi="Times New Roman" w:eastAsia="宋体" w:cs="Times New Roman"/>
          <w:color w:val="auto"/>
          <w:spacing w:val="-6"/>
          <w:sz w:val="24"/>
          <w:szCs w:val="24"/>
          <w:highlight w:val="none"/>
          <w:lang w:val="en-US" w:eastAsia="zh-CN"/>
        </w:rPr>
        <w:t>监测布点</w:t>
      </w:r>
    </w:p>
    <w:p w14:paraId="038A1816">
      <w:pPr>
        <w:keepNext w:val="0"/>
        <w:keepLines w:val="0"/>
        <w:pageBreakBefore w:val="0"/>
        <w:widowControl w:val="0"/>
        <w:wordWrap/>
        <w:topLinePunct w:val="0"/>
        <w:bidi w:val="0"/>
        <w:snapToGrid w:val="0"/>
        <w:spacing w:line="360" w:lineRule="auto"/>
        <w:ind w:firstLine="456" w:firstLineChars="200"/>
        <w:rPr>
          <w:rFonts w:hint="default" w:ascii="Times New Roman" w:hAnsi="Times New Roman" w:eastAsia="宋体" w:cs="Times New Roman"/>
          <w:color w:val="auto"/>
          <w:spacing w:val="-6"/>
          <w:sz w:val="24"/>
          <w:szCs w:val="24"/>
          <w:highlight w:val="none"/>
          <w:lang w:eastAsia="zh-CN"/>
        </w:rPr>
      </w:pPr>
      <w:r>
        <w:rPr>
          <w:rFonts w:hint="default" w:ascii="Times New Roman" w:hAnsi="Times New Roman" w:eastAsia="宋体" w:cs="Times New Roman"/>
          <w:color w:val="auto"/>
          <w:spacing w:val="-6"/>
          <w:sz w:val="24"/>
          <w:szCs w:val="24"/>
          <w:highlight w:val="none"/>
          <w:lang w:eastAsia="zh-CN"/>
        </w:rPr>
        <w:t>监测布点：在电业变东、南、西、北围墙外5m处设置</w:t>
      </w:r>
      <w:r>
        <w:rPr>
          <w:rFonts w:hint="default" w:ascii="Times New Roman" w:hAnsi="Times New Roman" w:eastAsia="宋体" w:cs="Times New Roman"/>
          <w:color w:val="auto"/>
          <w:spacing w:val="-6"/>
          <w:sz w:val="24"/>
          <w:szCs w:val="24"/>
          <w:highlight w:val="none"/>
          <w:lang w:val="en-US" w:eastAsia="zh-CN"/>
        </w:rPr>
        <w:t>10</w:t>
      </w:r>
      <w:r>
        <w:rPr>
          <w:rFonts w:hint="default" w:ascii="Times New Roman" w:hAnsi="Times New Roman" w:eastAsia="宋体" w:cs="Times New Roman"/>
          <w:color w:val="auto"/>
          <w:spacing w:val="-6"/>
          <w:sz w:val="24"/>
          <w:szCs w:val="24"/>
          <w:highlight w:val="none"/>
          <w:lang w:eastAsia="zh-CN"/>
        </w:rPr>
        <w:t>个电磁辐射监测点位。监测点位图见图</w:t>
      </w:r>
      <w:r>
        <w:rPr>
          <w:rFonts w:hint="default" w:ascii="Times New Roman" w:hAnsi="Times New Roman" w:eastAsia="宋体" w:cs="Times New Roman"/>
          <w:color w:val="auto"/>
          <w:spacing w:val="-6"/>
          <w:sz w:val="24"/>
          <w:szCs w:val="24"/>
          <w:highlight w:val="none"/>
          <w:lang w:val="en-US" w:eastAsia="zh-CN"/>
        </w:rPr>
        <w:t>2。</w:t>
      </w:r>
    </w:p>
    <w:p w14:paraId="061EBF62">
      <w:pPr>
        <w:snapToGrid w:val="0"/>
        <w:spacing w:line="360" w:lineRule="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highlight w:val="none"/>
        </w:rPr>
        <w:drawing>
          <wp:inline distT="0" distB="0" distL="114300" distR="114300">
            <wp:extent cx="5393690" cy="2852420"/>
            <wp:effectExtent l="0" t="0" r="16510" b="5080"/>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24"/>
                    <a:stretch>
                      <a:fillRect/>
                    </a:stretch>
                  </pic:blipFill>
                  <pic:spPr>
                    <a:xfrm>
                      <a:off x="0" y="0"/>
                      <a:ext cx="5393690" cy="2852420"/>
                    </a:xfrm>
                    <a:prstGeom prst="rect">
                      <a:avLst/>
                    </a:prstGeom>
                    <a:noFill/>
                    <a:ln>
                      <a:noFill/>
                    </a:ln>
                  </pic:spPr>
                </pic:pic>
              </a:graphicData>
            </a:graphic>
          </wp:inline>
        </w:drawing>
      </w:r>
    </w:p>
    <w:p w14:paraId="225D973B">
      <w:pPr>
        <w:snapToGrid w:val="0"/>
        <w:spacing w:line="360" w:lineRule="auto"/>
        <w:ind w:firstLine="422" w:firstLineChars="20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图2  类比项目监测布点图</w:t>
      </w:r>
    </w:p>
    <w:p w14:paraId="72A29ACD">
      <w:pPr>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类比项目</w:t>
      </w:r>
      <w:r>
        <w:rPr>
          <w:rFonts w:hint="default" w:ascii="Times New Roman" w:hAnsi="Times New Roman" w:eastAsia="宋体" w:cs="Times New Roman"/>
          <w:color w:val="auto"/>
          <w:sz w:val="24"/>
          <w:szCs w:val="24"/>
          <w:highlight w:val="none"/>
          <w:lang w:val="en-US" w:eastAsia="zh-CN"/>
        </w:rPr>
        <w:t>监测时间及监测单位</w:t>
      </w:r>
    </w:p>
    <w:p w14:paraId="1B1DD583">
      <w:pPr>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监测时间：2022年5月20日；</w:t>
      </w:r>
    </w:p>
    <w:p w14:paraId="3785BF68">
      <w:pPr>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监测时间：新疆鼎耀工程咨询有限公司</w:t>
      </w:r>
      <w:r>
        <w:rPr>
          <w:rFonts w:hint="default" w:ascii="Times New Roman" w:hAnsi="Times New Roman" w:eastAsia="宋体" w:cs="Times New Roman"/>
          <w:color w:val="auto"/>
          <w:sz w:val="24"/>
          <w:szCs w:val="24"/>
          <w:highlight w:val="none"/>
          <w:lang w:eastAsia="zh-CN"/>
        </w:rPr>
        <w:t>；</w:t>
      </w:r>
    </w:p>
    <w:p w14:paraId="3C1C381A">
      <w:pPr>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类比项目</w:t>
      </w:r>
      <w:r>
        <w:rPr>
          <w:rFonts w:hint="default" w:ascii="Times New Roman" w:hAnsi="Times New Roman" w:eastAsia="宋体" w:cs="Times New Roman"/>
          <w:color w:val="auto"/>
          <w:sz w:val="24"/>
          <w:szCs w:val="24"/>
          <w:highlight w:val="none"/>
        </w:rPr>
        <w:t>监测仪器及工况</w:t>
      </w:r>
    </w:p>
    <w:p w14:paraId="066933CD">
      <w:pPr>
        <w:snapToGrid w:val="0"/>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类比项目</w:t>
      </w:r>
      <w:r>
        <w:rPr>
          <w:rFonts w:hint="default" w:ascii="Times New Roman" w:hAnsi="Times New Roman" w:eastAsia="宋体" w:cs="Times New Roman"/>
          <w:color w:val="auto"/>
          <w:sz w:val="24"/>
          <w:szCs w:val="24"/>
          <w:highlight w:val="none"/>
        </w:rPr>
        <w:t>监测仪器：1、主机：NBM</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550</w:t>
      </w:r>
      <w:r>
        <w:rPr>
          <w:rFonts w:hint="default" w:ascii="Times New Roman" w:hAnsi="Times New Roman" w:eastAsia="宋体" w:cs="Times New Roman"/>
          <w:color w:val="auto"/>
          <w:sz w:val="24"/>
          <w:szCs w:val="24"/>
          <w:highlight w:val="none"/>
          <w:lang w:eastAsia="zh-CN"/>
        </w:rPr>
        <w:t>；</w:t>
      </w:r>
    </w:p>
    <w:p w14:paraId="7EB1B899">
      <w:pPr>
        <w:snapToGrid w:val="0"/>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2、探头：EHP</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50F</w:t>
      </w:r>
      <w:r>
        <w:rPr>
          <w:rFonts w:hint="default" w:ascii="Times New Roman" w:hAnsi="Times New Roman" w:eastAsia="宋体" w:cs="Times New Roman"/>
          <w:color w:val="auto"/>
          <w:sz w:val="24"/>
          <w:szCs w:val="24"/>
          <w:highlight w:val="none"/>
          <w:lang w:eastAsia="zh-CN"/>
        </w:rPr>
        <w:t>；</w:t>
      </w:r>
    </w:p>
    <w:p w14:paraId="24CB0DB6">
      <w:pPr>
        <w:numPr>
          <w:ilvl w:val="0"/>
          <w:numId w:val="0"/>
        </w:numPr>
        <w:spacing w:line="500" w:lineRule="exact"/>
        <w:ind w:left="630" w:leftChars="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类比项目</w:t>
      </w:r>
      <w:r>
        <w:rPr>
          <w:rFonts w:hint="default" w:ascii="Times New Roman" w:hAnsi="Times New Roman" w:eastAsia="宋体" w:cs="Times New Roman"/>
          <w:color w:val="auto"/>
          <w:sz w:val="24"/>
          <w:szCs w:val="24"/>
          <w:highlight w:val="none"/>
        </w:rPr>
        <w:t>监测环境条件：</w:t>
      </w:r>
    </w:p>
    <w:p w14:paraId="75F57966">
      <w:pPr>
        <w:numPr>
          <w:ilvl w:val="0"/>
          <w:numId w:val="0"/>
        </w:numPr>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类比项目</w:t>
      </w:r>
      <w:r>
        <w:rPr>
          <w:rFonts w:hint="default" w:ascii="Times New Roman" w:hAnsi="Times New Roman" w:eastAsia="宋体" w:cs="Times New Roman"/>
          <w:color w:val="auto"/>
          <w:sz w:val="24"/>
          <w:szCs w:val="24"/>
          <w:highlight w:val="none"/>
        </w:rPr>
        <w:t>监测环境条件见表</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w:t>
      </w:r>
    </w:p>
    <w:p w14:paraId="51EC3E31">
      <w:pPr>
        <w:spacing w:line="48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5</w:t>
      </w:r>
      <w:r>
        <w:rPr>
          <w:rFonts w:hint="default" w:ascii="Times New Roman" w:hAnsi="Times New Roman" w:eastAsia="宋体" w:cs="Times New Roman"/>
          <w:b/>
          <w:color w:val="auto"/>
          <w:sz w:val="21"/>
          <w:szCs w:val="21"/>
          <w:highlight w:val="none"/>
        </w:rPr>
        <w:t xml:space="preserve">  </w:t>
      </w:r>
      <w:r>
        <w:rPr>
          <w:rFonts w:hint="default" w:ascii="Times New Roman" w:hAnsi="Times New Roman" w:eastAsia="宋体" w:cs="Times New Roman"/>
          <w:b/>
          <w:color w:val="auto"/>
          <w:sz w:val="21"/>
          <w:szCs w:val="21"/>
          <w:highlight w:val="none"/>
          <w:lang w:val="en-US" w:eastAsia="zh-CN"/>
        </w:rPr>
        <w:t xml:space="preserve"> 类比项目</w:t>
      </w:r>
      <w:r>
        <w:rPr>
          <w:rFonts w:hint="default" w:ascii="Times New Roman" w:hAnsi="Times New Roman" w:eastAsia="宋体" w:cs="Times New Roman"/>
          <w:b/>
          <w:color w:val="auto"/>
          <w:sz w:val="21"/>
          <w:szCs w:val="21"/>
          <w:highlight w:val="none"/>
        </w:rPr>
        <w:t>监测环境条件</w:t>
      </w:r>
    </w:p>
    <w:tbl>
      <w:tblPr>
        <w:tblStyle w:val="28"/>
        <w:tblW w:w="4998" w:type="pct"/>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autofit"/>
        <w:tblCellMar>
          <w:top w:w="0" w:type="dxa"/>
          <w:left w:w="0" w:type="dxa"/>
          <w:bottom w:w="0" w:type="dxa"/>
          <w:right w:w="0" w:type="dxa"/>
        </w:tblCellMar>
      </w:tblPr>
      <w:tblGrid>
        <w:gridCol w:w="2332"/>
        <w:gridCol w:w="1524"/>
        <w:gridCol w:w="1057"/>
        <w:gridCol w:w="1741"/>
        <w:gridCol w:w="1655"/>
      </w:tblGrid>
      <w:tr w14:paraId="28CE8A42">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758" w:hRule="atLeast"/>
          <w:jc w:val="center"/>
        </w:trPr>
        <w:tc>
          <w:tcPr>
            <w:tcW w:w="1403" w:type="pct"/>
            <w:tcBorders>
              <w:tl2br w:val="nil"/>
              <w:tr2bl w:val="nil"/>
            </w:tcBorders>
            <w:noWrap w:val="0"/>
            <w:vAlign w:val="center"/>
          </w:tcPr>
          <w:p w14:paraId="23F41D0E">
            <w:pPr>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监测</w:t>
            </w:r>
          </w:p>
          <w:p w14:paraId="5D2CD68E">
            <w:pPr>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日期</w:t>
            </w:r>
          </w:p>
        </w:tc>
        <w:tc>
          <w:tcPr>
            <w:tcW w:w="917" w:type="pct"/>
            <w:tcBorders>
              <w:tl2br w:val="nil"/>
              <w:tr2bl w:val="nil"/>
            </w:tcBorders>
            <w:noWrap w:val="0"/>
            <w:vAlign w:val="center"/>
          </w:tcPr>
          <w:p w14:paraId="2E6D13DF">
            <w:pPr>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监测</w:t>
            </w:r>
          </w:p>
          <w:p w14:paraId="0FC71C52">
            <w:pPr>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时段</w:t>
            </w:r>
          </w:p>
        </w:tc>
        <w:tc>
          <w:tcPr>
            <w:tcW w:w="636" w:type="pct"/>
            <w:tcBorders>
              <w:tl2br w:val="nil"/>
              <w:tr2bl w:val="nil"/>
            </w:tcBorders>
            <w:noWrap w:val="0"/>
            <w:textDirection w:val="tbRlV"/>
            <w:vAlign w:val="center"/>
          </w:tcPr>
          <w:p w14:paraId="3A071DA3">
            <w:pPr>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天气</w:t>
            </w:r>
          </w:p>
        </w:tc>
        <w:tc>
          <w:tcPr>
            <w:tcW w:w="1047" w:type="pct"/>
            <w:tcBorders>
              <w:tl2br w:val="nil"/>
              <w:tr2bl w:val="nil"/>
            </w:tcBorders>
            <w:noWrap w:val="0"/>
            <w:vAlign w:val="center"/>
          </w:tcPr>
          <w:p w14:paraId="157CED93">
            <w:pPr>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温度</w:t>
            </w:r>
          </w:p>
          <w:p w14:paraId="20742517">
            <w:pPr>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w:t>
            </w:r>
          </w:p>
        </w:tc>
        <w:tc>
          <w:tcPr>
            <w:tcW w:w="995" w:type="pct"/>
            <w:tcBorders>
              <w:tl2br w:val="nil"/>
              <w:tr2bl w:val="nil"/>
            </w:tcBorders>
            <w:noWrap w:val="0"/>
            <w:vAlign w:val="center"/>
          </w:tcPr>
          <w:p w14:paraId="0CF821F5">
            <w:pPr>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相对湿度(％RH)</w:t>
            </w:r>
          </w:p>
        </w:tc>
      </w:tr>
      <w:tr w14:paraId="1C76805E">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573" w:hRule="atLeast"/>
          <w:jc w:val="center"/>
        </w:trPr>
        <w:tc>
          <w:tcPr>
            <w:tcW w:w="1403" w:type="pct"/>
            <w:tcBorders>
              <w:tl2br w:val="nil"/>
              <w:tr2bl w:val="nil"/>
            </w:tcBorders>
            <w:noWrap w:val="0"/>
            <w:vAlign w:val="center"/>
          </w:tcPr>
          <w:p w14:paraId="59230CB1">
            <w:pPr>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2022年</w:t>
            </w:r>
            <w:r>
              <w:rPr>
                <w:rFonts w:hint="default" w:ascii="Times New Roman" w:hAnsi="Times New Roman" w:eastAsia="宋体" w:cs="Times New Roman"/>
                <w:color w:val="auto"/>
                <w:szCs w:val="24"/>
                <w:highlight w:val="none"/>
                <w:lang w:val="en-US" w:eastAsia="zh-CN"/>
              </w:rPr>
              <w:t>5</w:t>
            </w:r>
            <w:r>
              <w:rPr>
                <w:rFonts w:hint="default" w:ascii="Times New Roman" w:hAnsi="Times New Roman" w:eastAsia="宋体" w:cs="Times New Roman"/>
                <w:color w:val="auto"/>
                <w:szCs w:val="24"/>
                <w:highlight w:val="none"/>
              </w:rPr>
              <w:t>月</w:t>
            </w:r>
            <w:r>
              <w:rPr>
                <w:rFonts w:hint="default" w:ascii="Times New Roman" w:hAnsi="Times New Roman" w:eastAsia="宋体" w:cs="Times New Roman"/>
                <w:color w:val="auto"/>
                <w:szCs w:val="24"/>
                <w:highlight w:val="none"/>
                <w:lang w:val="en-US" w:eastAsia="zh-CN"/>
              </w:rPr>
              <w:t>20</w:t>
            </w:r>
            <w:r>
              <w:rPr>
                <w:rFonts w:hint="default" w:ascii="Times New Roman" w:hAnsi="Times New Roman" w:eastAsia="宋体" w:cs="Times New Roman"/>
                <w:color w:val="auto"/>
                <w:szCs w:val="24"/>
                <w:highlight w:val="none"/>
              </w:rPr>
              <w:t>日</w:t>
            </w:r>
          </w:p>
        </w:tc>
        <w:tc>
          <w:tcPr>
            <w:tcW w:w="917" w:type="pct"/>
            <w:tcBorders>
              <w:tl2br w:val="nil"/>
              <w:tr2bl w:val="nil"/>
            </w:tcBorders>
            <w:noWrap w:val="0"/>
            <w:vAlign w:val="center"/>
          </w:tcPr>
          <w:p w14:paraId="030B831E">
            <w:pPr>
              <w:jc w:val="center"/>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4"/>
                <w:highlight w:val="none"/>
                <w:lang w:val="en-US" w:eastAsia="zh-CN"/>
              </w:rPr>
              <w:t>8:30-22:00</w:t>
            </w:r>
          </w:p>
        </w:tc>
        <w:tc>
          <w:tcPr>
            <w:tcW w:w="636" w:type="pct"/>
            <w:tcBorders>
              <w:tl2br w:val="nil"/>
              <w:tr2bl w:val="nil"/>
            </w:tcBorders>
            <w:noWrap w:val="0"/>
            <w:vAlign w:val="center"/>
          </w:tcPr>
          <w:p w14:paraId="0AFAFC3D">
            <w:pPr>
              <w:jc w:val="center"/>
              <w:rPr>
                <w:rFonts w:hint="default" w:ascii="Times New Roman" w:hAnsi="Times New Roman" w:eastAsia="宋体" w:cs="Times New Roman"/>
                <w:color w:val="auto"/>
                <w:szCs w:val="24"/>
                <w:highlight w:val="none"/>
                <w:lang w:eastAsia="zh-CN"/>
              </w:rPr>
            </w:pPr>
            <w:r>
              <w:rPr>
                <w:rFonts w:hint="default" w:ascii="Times New Roman" w:hAnsi="Times New Roman" w:eastAsia="宋体" w:cs="Times New Roman"/>
                <w:color w:val="auto"/>
                <w:szCs w:val="24"/>
                <w:highlight w:val="none"/>
                <w:lang w:eastAsia="zh-CN"/>
              </w:rPr>
              <w:t>晴</w:t>
            </w:r>
          </w:p>
        </w:tc>
        <w:tc>
          <w:tcPr>
            <w:tcW w:w="1047" w:type="pct"/>
            <w:tcBorders>
              <w:tl2br w:val="nil"/>
              <w:tr2bl w:val="nil"/>
            </w:tcBorders>
            <w:noWrap w:val="0"/>
            <w:vAlign w:val="center"/>
          </w:tcPr>
          <w:p w14:paraId="652CFDE3">
            <w:pPr>
              <w:jc w:val="center"/>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4"/>
                <w:highlight w:val="none"/>
                <w:lang w:val="en-US" w:eastAsia="zh-CN"/>
              </w:rPr>
              <w:t>18-31</w:t>
            </w:r>
          </w:p>
        </w:tc>
        <w:tc>
          <w:tcPr>
            <w:tcW w:w="995" w:type="pct"/>
            <w:tcBorders>
              <w:tl2br w:val="nil"/>
              <w:tr2bl w:val="nil"/>
            </w:tcBorders>
            <w:noWrap w:val="0"/>
            <w:vAlign w:val="center"/>
          </w:tcPr>
          <w:p w14:paraId="7B56481E">
            <w:pPr>
              <w:jc w:val="center"/>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4"/>
                <w:highlight w:val="none"/>
                <w:lang w:val="en-US" w:eastAsia="zh-CN"/>
              </w:rPr>
              <w:t>22-35</w:t>
            </w:r>
          </w:p>
        </w:tc>
      </w:tr>
    </w:tbl>
    <w:p w14:paraId="5B6C8EAD">
      <w:pPr>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eastAsia="zh-CN"/>
        </w:rPr>
        <w:t>类比项目</w:t>
      </w:r>
      <w:r>
        <w:rPr>
          <w:rFonts w:hint="default" w:ascii="Times New Roman" w:hAnsi="Times New Roman" w:eastAsia="宋体" w:cs="Times New Roman"/>
          <w:color w:val="auto"/>
          <w:sz w:val="24"/>
          <w:szCs w:val="24"/>
          <w:highlight w:val="none"/>
          <w:lang w:val="en-US" w:eastAsia="zh-CN"/>
        </w:rPr>
        <w:t>监测结果</w:t>
      </w:r>
    </w:p>
    <w:p w14:paraId="1BF43785">
      <w:pPr>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类比项目电磁环境监测结果见表</w:t>
      </w:r>
      <w:r>
        <w:rPr>
          <w:rFonts w:hint="default" w:ascii="Times New Roman" w:hAnsi="Times New Roman" w:eastAsia="宋体" w:cs="Times New Roman"/>
          <w:color w:val="auto"/>
          <w:sz w:val="24"/>
          <w:szCs w:val="24"/>
          <w:highlight w:val="none"/>
          <w:lang w:val="en-US" w:eastAsia="zh-CN"/>
        </w:rPr>
        <w:t>6。</w:t>
      </w:r>
    </w:p>
    <w:p w14:paraId="19A8C01B">
      <w:pPr>
        <w:spacing w:line="48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 xml:space="preserve">6   </w:t>
      </w:r>
      <w:r>
        <w:rPr>
          <w:rFonts w:hint="default" w:ascii="Times New Roman" w:hAnsi="Times New Roman" w:eastAsia="宋体" w:cs="Times New Roman"/>
          <w:b/>
          <w:color w:val="auto"/>
          <w:sz w:val="21"/>
          <w:szCs w:val="21"/>
          <w:highlight w:val="none"/>
        </w:rPr>
        <w:t xml:space="preserve"> </w:t>
      </w:r>
      <w:r>
        <w:rPr>
          <w:rFonts w:hint="default" w:ascii="Times New Roman" w:hAnsi="Times New Roman" w:eastAsia="宋体" w:cs="Times New Roman"/>
          <w:b/>
          <w:color w:val="auto"/>
          <w:sz w:val="21"/>
          <w:szCs w:val="21"/>
          <w:highlight w:val="none"/>
          <w:lang w:eastAsia="zh-CN"/>
        </w:rPr>
        <w:t>类比项目</w:t>
      </w:r>
      <w:r>
        <w:rPr>
          <w:rFonts w:hint="default" w:ascii="Times New Roman" w:hAnsi="Times New Roman" w:eastAsia="宋体" w:cs="Times New Roman"/>
          <w:b/>
          <w:color w:val="auto"/>
          <w:sz w:val="21"/>
          <w:szCs w:val="21"/>
          <w:highlight w:val="none"/>
        </w:rPr>
        <w:t>电磁环境监测结果</w:t>
      </w:r>
    </w:p>
    <w:tbl>
      <w:tblPr>
        <w:tblStyle w:val="28"/>
        <w:tblW w:w="8270" w:type="dxa"/>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
      <w:tblGrid>
        <w:gridCol w:w="611"/>
        <w:gridCol w:w="3656"/>
        <w:gridCol w:w="2064"/>
        <w:gridCol w:w="1939"/>
      </w:tblGrid>
      <w:tr w14:paraId="6DE2AEF2">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11" w:type="dxa"/>
            <w:vMerge w:val="restart"/>
            <w:tcBorders>
              <w:tl2br w:val="nil"/>
              <w:tr2bl w:val="nil"/>
            </w:tcBorders>
            <w:noWrap w:val="0"/>
            <w:vAlign w:val="center"/>
          </w:tcPr>
          <w:p w14:paraId="4F41A509">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点位编号</w:t>
            </w:r>
          </w:p>
        </w:tc>
        <w:tc>
          <w:tcPr>
            <w:tcW w:w="3656" w:type="dxa"/>
            <w:vMerge w:val="restart"/>
            <w:tcBorders>
              <w:tl2br w:val="nil"/>
              <w:tr2bl w:val="nil"/>
            </w:tcBorders>
            <w:noWrap w:val="0"/>
            <w:vAlign w:val="center"/>
          </w:tcPr>
          <w:p w14:paraId="6BC2C685">
            <w:pPr>
              <w:jc w:val="center"/>
              <w:rPr>
                <w:rFonts w:hint="default" w:ascii="Times New Roman" w:hAnsi="Times New Roman" w:eastAsia="宋体" w:cs="Times New Roman"/>
                <w:color w:val="auto"/>
                <w:szCs w:val="21"/>
                <w:highlight w:val="none"/>
              </w:rPr>
            </w:pPr>
          </w:p>
          <w:p w14:paraId="4C819055">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测点位置</w:t>
            </w:r>
          </w:p>
        </w:tc>
        <w:tc>
          <w:tcPr>
            <w:tcW w:w="4003" w:type="dxa"/>
            <w:gridSpan w:val="2"/>
            <w:tcBorders>
              <w:tl2br w:val="nil"/>
              <w:tr2bl w:val="nil"/>
            </w:tcBorders>
            <w:noWrap w:val="0"/>
            <w:vAlign w:val="center"/>
          </w:tcPr>
          <w:p w14:paraId="40E5AEBB">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检测结果</w:t>
            </w:r>
          </w:p>
        </w:tc>
      </w:tr>
      <w:tr w14:paraId="3291906B">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11" w:type="dxa"/>
            <w:vMerge w:val="continue"/>
            <w:tcBorders>
              <w:tl2br w:val="nil"/>
              <w:tr2bl w:val="nil"/>
            </w:tcBorders>
            <w:noWrap w:val="0"/>
            <w:vAlign w:val="center"/>
          </w:tcPr>
          <w:p w14:paraId="2AAA709B">
            <w:pPr>
              <w:jc w:val="center"/>
              <w:rPr>
                <w:rFonts w:hint="default" w:ascii="Times New Roman" w:hAnsi="Times New Roman" w:eastAsia="宋体" w:cs="Times New Roman"/>
                <w:color w:val="auto"/>
                <w:szCs w:val="21"/>
                <w:highlight w:val="none"/>
              </w:rPr>
            </w:pPr>
          </w:p>
        </w:tc>
        <w:tc>
          <w:tcPr>
            <w:tcW w:w="3656" w:type="dxa"/>
            <w:vMerge w:val="continue"/>
            <w:tcBorders>
              <w:tl2br w:val="nil"/>
              <w:tr2bl w:val="nil"/>
            </w:tcBorders>
            <w:noWrap w:val="0"/>
            <w:vAlign w:val="center"/>
          </w:tcPr>
          <w:p w14:paraId="5F47203A">
            <w:pPr>
              <w:jc w:val="center"/>
              <w:rPr>
                <w:rFonts w:hint="default" w:ascii="Times New Roman" w:hAnsi="Times New Roman" w:eastAsia="宋体" w:cs="Times New Roman"/>
                <w:color w:val="auto"/>
                <w:szCs w:val="21"/>
                <w:highlight w:val="none"/>
              </w:rPr>
            </w:pPr>
          </w:p>
        </w:tc>
        <w:tc>
          <w:tcPr>
            <w:tcW w:w="2064" w:type="dxa"/>
            <w:tcBorders>
              <w:tl2br w:val="nil"/>
              <w:tr2bl w:val="nil"/>
            </w:tcBorders>
            <w:noWrap w:val="0"/>
            <w:vAlign w:val="center"/>
          </w:tcPr>
          <w:p w14:paraId="73C23F7C">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工频电场强度</w:t>
            </w:r>
          </w:p>
          <w:p w14:paraId="5F74FC1D">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(V/m)</w:t>
            </w:r>
          </w:p>
        </w:tc>
        <w:tc>
          <w:tcPr>
            <w:tcW w:w="1939" w:type="dxa"/>
            <w:tcBorders>
              <w:tl2br w:val="nil"/>
              <w:tr2bl w:val="nil"/>
            </w:tcBorders>
            <w:noWrap w:val="0"/>
            <w:vAlign w:val="center"/>
          </w:tcPr>
          <w:p w14:paraId="50FB348A">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工频磁感应强度</w:t>
            </w:r>
          </w:p>
          <w:p w14:paraId="3A9FDDFB">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(μT)</w:t>
            </w:r>
          </w:p>
        </w:tc>
      </w:tr>
      <w:tr w14:paraId="112DE945">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11" w:type="dxa"/>
            <w:tcBorders>
              <w:tl2br w:val="nil"/>
              <w:tr2bl w:val="nil"/>
            </w:tcBorders>
            <w:noWrap w:val="0"/>
            <w:vAlign w:val="center"/>
          </w:tcPr>
          <w:p w14:paraId="6EC44C9D">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3656" w:type="dxa"/>
            <w:tcBorders>
              <w:tl2br w:val="nil"/>
              <w:tr2bl w:val="nil"/>
            </w:tcBorders>
            <w:noWrap w:val="0"/>
            <w:vAlign w:val="center"/>
          </w:tcPr>
          <w:p w14:paraId="436FCA32">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220kV电业变东侧（偏南）围墙外5m处</w:t>
            </w:r>
          </w:p>
        </w:tc>
        <w:tc>
          <w:tcPr>
            <w:tcW w:w="2064" w:type="dxa"/>
            <w:tcBorders>
              <w:tl2br w:val="nil"/>
              <w:tr2bl w:val="nil"/>
            </w:tcBorders>
            <w:noWrap w:val="0"/>
            <w:vAlign w:val="center"/>
          </w:tcPr>
          <w:p w14:paraId="1DDC554C">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74.74</w:t>
            </w:r>
          </w:p>
        </w:tc>
        <w:tc>
          <w:tcPr>
            <w:tcW w:w="1939" w:type="dxa"/>
            <w:tcBorders>
              <w:tl2br w:val="nil"/>
              <w:tr2bl w:val="nil"/>
            </w:tcBorders>
            <w:noWrap w:val="0"/>
            <w:vAlign w:val="center"/>
          </w:tcPr>
          <w:p w14:paraId="299770DF">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0.9404</w:t>
            </w:r>
          </w:p>
        </w:tc>
      </w:tr>
      <w:tr w14:paraId="561E8CBA">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11" w:type="dxa"/>
            <w:tcBorders>
              <w:tl2br w:val="nil"/>
              <w:tr2bl w:val="nil"/>
            </w:tcBorders>
            <w:noWrap w:val="0"/>
            <w:vAlign w:val="center"/>
          </w:tcPr>
          <w:p w14:paraId="11EDC23B">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p>
        </w:tc>
        <w:tc>
          <w:tcPr>
            <w:tcW w:w="3656" w:type="dxa"/>
            <w:tcBorders>
              <w:tl2br w:val="nil"/>
              <w:tr2bl w:val="nil"/>
            </w:tcBorders>
            <w:noWrap w:val="0"/>
            <w:vAlign w:val="center"/>
          </w:tcPr>
          <w:p w14:paraId="779835BC">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220kV电业变东侧（偏北）围墙外5m处</w:t>
            </w:r>
          </w:p>
        </w:tc>
        <w:tc>
          <w:tcPr>
            <w:tcW w:w="2064" w:type="dxa"/>
            <w:tcBorders>
              <w:tl2br w:val="nil"/>
              <w:tr2bl w:val="nil"/>
            </w:tcBorders>
            <w:noWrap w:val="0"/>
            <w:vAlign w:val="center"/>
          </w:tcPr>
          <w:p w14:paraId="2F80E909">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88.10</w:t>
            </w:r>
          </w:p>
        </w:tc>
        <w:tc>
          <w:tcPr>
            <w:tcW w:w="1939" w:type="dxa"/>
            <w:tcBorders>
              <w:tl2br w:val="nil"/>
              <w:tr2bl w:val="nil"/>
            </w:tcBorders>
            <w:noWrap w:val="0"/>
            <w:vAlign w:val="center"/>
          </w:tcPr>
          <w:p w14:paraId="70D1721C">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1.846</w:t>
            </w:r>
          </w:p>
        </w:tc>
      </w:tr>
      <w:tr w14:paraId="4C8DD010">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11" w:type="dxa"/>
            <w:tcBorders>
              <w:tl2br w:val="nil"/>
              <w:tr2bl w:val="nil"/>
            </w:tcBorders>
            <w:noWrap w:val="0"/>
            <w:vAlign w:val="center"/>
          </w:tcPr>
          <w:p w14:paraId="48C1F3E1">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w:t>
            </w:r>
          </w:p>
        </w:tc>
        <w:tc>
          <w:tcPr>
            <w:tcW w:w="3656" w:type="dxa"/>
            <w:tcBorders>
              <w:tl2br w:val="nil"/>
              <w:tr2bl w:val="nil"/>
            </w:tcBorders>
            <w:noWrap w:val="0"/>
            <w:vAlign w:val="center"/>
          </w:tcPr>
          <w:p w14:paraId="63811212">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220kV电业变北侧（偏东）围墙外5m处</w:t>
            </w:r>
          </w:p>
        </w:tc>
        <w:tc>
          <w:tcPr>
            <w:tcW w:w="2064" w:type="dxa"/>
            <w:tcBorders>
              <w:tl2br w:val="nil"/>
              <w:tr2bl w:val="nil"/>
            </w:tcBorders>
            <w:noWrap w:val="0"/>
            <w:vAlign w:val="center"/>
          </w:tcPr>
          <w:p w14:paraId="3AF1BEA7">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651.9</w:t>
            </w:r>
          </w:p>
        </w:tc>
        <w:tc>
          <w:tcPr>
            <w:tcW w:w="1939" w:type="dxa"/>
            <w:tcBorders>
              <w:tl2br w:val="nil"/>
              <w:tr2bl w:val="nil"/>
            </w:tcBorders>
            <w:noWrap w:val="0"/>
            <w:vAlign w:val="center"/>
          </w:tcPr>
          <w:p w14:paraId="73D17E9D">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11.73</w:t>
            </w:r>
          </w:p>
        </w:tc>
      </w:tr>
      <w:tr w14:paraId="66FE75A7">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11" w:type="dxa"/>
            <w:tcBorders>
              <w:tl2br w:val="nil"/>
              <w:tr2bl w:val="nil"/>
            </w:tcBorders>
            <w:noWrap w:val="0"/>
            <w:vAlign w:val="center"/>
          </w:tcPr>
          <w:p w14:paraId="4D873321">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w:t>
            </w:r>
          </w:p>
        </w:tc>
        <w:tc>
          <w:tcPr>
            <w:tcW w:w="3656" w:type="dxa"/>
            <w:tcBorders>
              <w:tl2br w:val="nil"/>
              <w:tr2bl w:val="nil"/>
            </w:tcBorders>
            <w:noWrap w:val="0"/>
            <w:vAlign w:val="center"/>
          </w:tcPr>
          <w:p w14:paraId="533048E3">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220kV电业变北侧（中部）围墙外5m处</w:t>
            </w:r>
          </w:p>
        </w:tc>
        <w:tc>
          <w:tcPr>
            <w:tcW w:w="2064" w:type="dxa"/>
            <w:tcBorders>
              <w:tl2br w:val="nil"/>
              <w:tr2bl w:val="nil"/>
            </w:tcBorders>
            <w:noWrap w:val="0"/>
            <w:vAlign w:val="center"/>
          </w:tcPr>
          <w:p w14:paraId="0925E970">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219.4</w:t>
            </w:r>
          </w:p>
        </w:tc>
        <w:tc>
          <w:tcPr>
            <w:tcW w:w="1939" w:type="dxa"/>
            <w:tcBorders>
              <w:tl2br w:val="nil"/>
              <w:tr2bl w:val="nil"/>
            </w:tcBorders>
            <w:noWrap w:val="0"/>
            <w:vAlign w:val="center"/>
          </w:tcPr>
          <w:p w14:paraId="6476044C">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11.92</w:t>
            </w:r>
          </w:p>
        </w:tc>
      </w:tr>
      <w:tr w14:paraId="6E6ED018">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11" w:type="dxa"/>
            <w:tcBorders>
              <w:tl2br w:val="nil"/>
              <w:tr2bl w:val="nil"/>
            </w:tcBorders>
            <w:noWrap w:val="0"/>
            <w:vAlign w:val="center"/>
          </w:tcPr>
          <w:p w14:paraId="0C7F9157">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w:t>
            </w:r>
            <w:r>
              <w:rPr>
                <w:rFonts w:hint="default" w:ascii="Times New Roman" w:hAnsi="Times New Roman" w:eastAsia="宋体" w:cs="Times New Roman"/>
                <w:color w:val="auto"/>
                <w:szCs w:val="21"/>
                <w:highlight w:val="none"/>
              </w:rPr>
              <w:t>#</w:t>
            </w:r>
          </w:p>
        </w:tc>
        <w:tc>
          <w:tcPr>
            <w:tcW w:w="3656" w:type="dxa"/>
            <w:tcBorders>
              <w:tl2br w:val="nil"/>
              <w:tr2bl w:val="nil"/>
            </w:tcBorders>
            <w:noWrap w:val="0"/>
            <w:vAlign w:val="center"/>
          </w:tcPr>
          <w:p w14:paraId="13899B54">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220kV电业变北侧（偏西）围墙外5m处</w:t>
            </w:r>
          </w:p>
        </w:tc>
        <w:tc>
          <w:tcPr>
            <w:tcW w:w="2064" w:type="dxa"/>
            <w:tcBorders>
              <w:tl2br w:val="nil"/>
              <w:tr2bl w:val="nil"/>
            </w:tcBorders>
            <w:noWrap w:val="0"/>
            <w:vAlign w:val="center"/>
          </w:tcPr>
          <w:p w14:paraId="1E0C2DF0">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322.0</w:t>
            </w:r>
          </w:p>
        </w:tc>
        <w:tc>
          <w:tcPr>
            <w:tcW w:w="1939" w:type="dxa"/>
            <w:tcBorders>
              <w:tl2br w:val="nil"/>
              <w:tr2bl w:val="nil"/>
            </w:tcBorders>
            <w:noWrap w:val="0"/>
            <w:vAlign w:val="center"/>
          </w:tcPr>
          <w:p w14:paraId="3F45CD47">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10.31</w:t>
            </w:r>
          </w:p>
        </w:tc>
      </w:tr>
      <w:tr w14:paraId="49F65742">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11" w:type="dxa"/>
            <w:tcBorders>
              <w:tl2br w:val="nil"/>
              <w:tr2bl w:val="nil"/>
            </w:tcBorders>
            <w:noWrap w:val="0"/>
            <w:vAlign w:val="center"/>
          </w:tcPr>
          <w:p w14:paraId="597FCE2A">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6</w:t>
            </w:r>
            <w:r>
              <w:rPr>
                <w:rFonts w:hint="default" w:ascii="Times New Roman" w:hAnsi="Times New Roman" w:eastAsia="宋体" w:cs="Times New Roman"/>
                <w:color w:val="auto"/>
                <w:szCs w:val="21"/>
                <w:highlight w:val="none"/>
              </w:rPr>
              <w:t>#</w:t>
            </w:r>
          </w:p>
        </w:tc>
        <w:tc>
          <w:tcPr>
            <w:tcW w:w="3656" w:type="dxa"/>
            <w:tcBorders>
              <w:tl2br w:val="nil"/>
              <w:tr2bl w:val="nil"/>
            </w:tcBorders>
            <w:noWrap w:val="0"/>
            <w:vAlign w:val="center"/>
          </w:tcPr>
          <w:p w14:paraId="034A65E6">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220kV电业变西侧（偏北）围墙外5m处</w:t>
            </w:r>
          </w:p>
        </w:tc>
        <w:tc>
          <w:tcPr>
            <w:tcW w:w="2064" w:type="dxa"/>
            <w:tcBorders>
              <w:tl2br w:val="nil"/>
              <w:tr2bl w:val="nil"/>
            </w:tcBorders>
            <w:noWrap w:val="0"/>
            <w:vAlign w:val="center"/>
          </w:tcPr>
          <w:p w14:paraId="465E9E2D">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40.54</w:t>
            </w:r>
          </w:p>
        </w:tc>
        <w:tc>
          <w:tcPr>
            <w:tcW w:w="1939" w:type="dxa"/>
            <w:tcBorders>
              <w:tl2br w:val="nil"/>
              <w:tr2bl w:val="nil"/>
            </w:tcBorders>
            <w:noWrap w:val="0"/>
            <w:vAlign w:val="center"/>
          </w:tcPr>
          <w:p w14:paraId="73981BC5">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6.004</w:t>
            </w:r>
          </w:p>
        </w:tc>
      </w:tr>
      <w:tr w14:paraId="56A7802C">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11" w:type="dxa"/>
            <w:tcBorders>
              <w:tl2br w:val="nil"/>
              <w:tr2bl w:val="nil"/>
            </w:tcBorders>
            <w:noWrap w:val="0"/>
            <w:vAlign w:val="center"/>
          </w:tcPr>
          <w:p w14:paraId="6BCCED09">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7</w:t>
            </w:r>
            <w:r>
              <w:rPr>
                <w:rFonts w:hint="default" w:ascii="Times New Roman" w:hAnsi="Times New Roman" w:eastAsia="宋体" w:cs="Times New Roman"/>
                <w:color w:val="auto"/>
                <w:szCs w:val="21"/>
                <w:highlight w:val="none"/>
              </w:rPr>
              <w:t>#</w:t>
            </w:r>
          </w:p>
        </w:tc>
        <w:tc>
          <w:tcPr>
            <w:tcW w:w="3656" w:type="dxa"/>
            <w:tcBorders>
              <w:tl2br w:val="nil"/>
              <w:tr2bl w:val="nil"/>
            </w:tcBorders>
            <w:noWrap w:val="0"/>
            <w:vAlign w:val="center"/>
          </w:tcPr>
          <w:p w14:paraId="1CB71642">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220kV电业变西侧（偏南）围墙外5m处</w:t>
            </w:r>
          </w:p>
        </w:tc>
        <w:tc>
          <w:tcPr>
            <w:tcW w:w="2064" w:type="dxa"/>
            <w:tcBorders>
              <w:tl2br w:val="nil"/>
              <w:tr2bl w:val="nil"/>
            </w:tcBorders>
            <w:noWrap w:val="0"/>
            <w:vAlign w:val="center"/>
          </w:tcPr>
          <w:p w14:paraId="034CE65F">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280.2</w:t>
            </w:r>
          </w:p>
        </w:tc>
        <w:tc>
          <w:tcPr>
            <w:tcW w:w="1939" w:type="dxa"/>
            <w:tcBorders>
              <w:tl2br w:val="nil"/>
              <w:tr2bl w:val="nil"/>
            </w:tcBorders>
            <w:noWrap w:val="0"/>
            <w:vAlign w:val="center"/>
          </w:tcPr>
          <w:p w14:paraId="1E3F046E">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3.234</w:t>
            </w:r>
          </w:p>
        </w:tc>
      </w:tr>
      <w:tr w14:paraId="0B9E4B69">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11" w:type="dxa"/>
            <w:tcBorders>
              <w:tl2br w:val="nil"/>
              <w:tr2bl w:val="nil"/>
            </w:tcBorders>
            <w:noWrap w:val="0"/>
            <w:vAlign w:val="center"/>
          </w:tcPr>
          <w:p w14:paraId="363556FA">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8</w:t>
            </w:r>
            <w:r>
              <w:rPr>
                <w:rFonts w:hint="default" w:ascii="Times New Roman" w:hAnsi="Times New Roman" w:eastAsia="宋体" w:cs="Times New Roman"/>
                <w:color w:val="auto"/>
                <w:szCs w:val="21"/>
                <w:highlight w:val="none"/>
              </w:rPr>
              <w:t>#</w:t>
            </w:r>
          </w:p>
        </w:tc>
        <w:tc>
          <w:tcPr>
            <w:tcW w:w="3656" w:type="dxa"/>
            <w:tcBorders>
              <w:tl2br w:val="nil"/>
              <w:tr2bl w:val="nil"/>
            </w:tcBorders>
            <w:noWrap w:val="0"/>
            <w:vAlign w:val="center"/>
          </w:tcPr>
          <w:p w14:paraId="6E2957D7">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220kV电业变南侧（偏西）围墙外5m处</w:t>
            </w:r>
          </w:p>
        </w:tc>
        <w:tc>
          <w:tcPr>
            <w:tcW w:w="2064" w:type="dxa"/>
            <w:tcBorders>
              <w:tl2br w:val="nil"/>
              <w:tr2bl w:val="nil"/>
            </w:tcBorders>
            <w:noWrap w:val="0"/>
            <w:vAlign w:val="center"/>
          </w:tcPr>
          <w:p w14:paraId="4F05A38F">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361.2</w:t>
            </w:r>
          </w:p>
        </w:tc>
        <w:tc>
          <w:tcPr>
            <w:tcW w:w="1939" w:type="dxa"/>
            <w:tcBorders>
              <w:tl2br w:val="nil"/>
              <w:tr2bl w:val="nil"/>
            </w:tcBorders>
            <w:noWrap w:val="0"/>
            <w:vAlign w:val="center"/>
          </w:tcPr>
          <w:p w14:paraId="7150F127">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3.768</w:t>
            </w:r>
          </w:p>
        </w:tc>
      </w:tr>
      <w:tr w14:paraId="0FDEB7A0">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11" w:type="dxa"/>
            <w:tcBorders>
              <w:tl2br w:val="nil"/>
              <w:tr2bl w:val="nil"/>
            </w:tcBorders>
            <w:noWrap w:val="0"/>
            <w:vAlign w:val="center"/>
          </w:tcPr>
          <w:p w14:paraId="31D1A9D5">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9</w:t>
            </w:r>
            <w:r>
              <w:rPr>
                <w:rFonts w:hint="default" w:ascii="Times New Roman" w:hAnsi="Times New Roman" w:eastAsia="宋体" w:cs="Times New Roman"/>
                <w:color w:val="auto"/>
                <w:szCs w:val="21"/>
                <w:highlight w:val="none"/>
              </w:rPr>
              <w:t>#</w:t>
            </w:r>
          </w:p>
        </w:tc>
        <w:tc>
          <w:tcPr>
            <w:tcW w:w="3656" w:type="dxa"/>
            <w:tcBorders>
              <w:tl2br w:val="nil"/>
              <w:tr2bl w:val="nil"/>
            </w:tcBorders>
            <w:noWrap w:val="0"/>
            <w:vAlign w:val="center"/>
          </w:tcPr>
          <w:p w14:paraId="6CEF8D96">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220kV电业变南侧（中部）围墙外5m处</w:t>
            </w:r>
          </w:p>
        </w:tc>
        <w:tc>
          <w:tcPr>
            <w:tcW w:w="2064" w:type="dxa"/>
            <w:tcBorders>
              <w:tl2br w:val="nil"/>
              <w:tr2bl w:val="nil"/>
            </w:tcBorders>
            <w:noWrap w:val="0"/>
            <w:vAlign w:val="center"/>
          </w:tcPr>
          <w:p w14:paraId="692B6B84">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628.4</w:t>
            </w:r>
          </w:p>
        </w:tc>
        <w:tc>
          <w:tcPr>
            <w:tcW w:w="1939" w:type="dxa"/>
            <w:tcBorders>
              <w:tl2br w:val="nil"/>
              <w:tr2bl w:val="nil"/>
            </w:tcBorders>
            <w:noWrap w:val="0"/>
            <w:vAlign w:val="center"/>
          </w:tcPr>
          <w:p w14:paraId="16696F69">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4.507</w:t>
            </w:r>
          </w:p>
        </w:tc>
      </w:tr>
      <w:tr w14:paraId="01A39AE3">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11" w:type="dxa"/>
            <w:tcBorders>
              <w:tl2br w:val="nil"/>
              <w:tr2bl w:val="nil"/>
            </w:tcBorders>
            <w:noWrap w:val="0"/>
            <w:vAlign w:val="center"/>
          </w:tcPr>
          <w:p w14:paraId="1563D2CF">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10</w:t>
            </w:r>
            <w:r>
              <w:rPr>
                <w:rFonts w:hint="default" w:ascii="Times New Roman" w:hAnsi="Times New Roman" w:eastAsia="宋体" w:cs="Times New Roman"/>
                <w:color w:val="auto"/>
                <w:szCs w:val="21"/>
                <w:highlight w:val="none"/>
              </w:rPr>
              <w:t>#</w:t>
            </w:r>
          </w:p>
        </w:tc>
        <w:tc>
          <w:tcPr>
            <w:tcW w:w="3656" w:type="dxa"/>
            <w:tcBorders>
              <w:tl2br w:val="nil"/>
              <w:tr2bl w:val="nil"/>
            </w:tcBorders>
            <w:noWrap w:val="0"/>
            <w:vAlign w:val="center"/>
          </w:tcPr>
          <w:p w14:paraId="16FA042C">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220kV电业变南侧（偏东）围墙外5m处</w:t>
            </w:r>
          </w:p>
        </w:tc>
        <w:tc>
          <w:tcPr>
            <w:tcW w:w="2064" w:type="dxa"/>
            <w:tcBorders>
              <w:tl2br w:val="nil"/>
              <w:tr2bl w:val="nil"/>
            </w:tcBorders>
            <w:noWrap w:val="0"/>
            <w:vAlign w:val="center"/>
          </w:tcPr>
          <w:p w14:paraId="043BA408">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545.8</w:t>
            </w:r>
          </w:p>
        </w:tc>
        <w:tc>
          <w:tcPr>
            <w:tcW w:w="1939" w:type="dxa"/>
            <w:tcBorders>
              <w:tl2br w:val="nil"/>
              <w:tr2bl w:val="nil"/>
            </w:tcBorders>
            <w:noWrap w:val="0"/>
            <w:vAlign w:val="center"/>
          </w:tcPr>
          <w:p w14:paraId="658AC305">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2.929</w:t>
            </w:r>
          </w:p>
        </w:tc>
      </w:tr>
      <w:tr w14:paraId="26140920">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67" w:type="dxa"/>
            <w:gridSpan w:val="2"/>
            <w:tcBorders>
              <w:tl2br w:val="nil"/>
              <w:tr2bl w:val="nil"/>
            </w:tcBorders>
            <w:noWrap w:val="0"/>
            <w:vAlign w:val="center"/>
          </w:tcPr>
          <w:p w14:paraId="529A423E">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范围</w:t>
            </w:r>
          </w:p>
        </w:tc>
        <w:tc>
          <w:tcPr>
            <w:tcW w:w="2064" w:type="dxa"/>
            <w:tcBorders>
              <w:tl2br w:val="nil"/>
              <w:tr2bl w:val="nil"/>
            </w:tcBorders>
            <w:noWrap w:val="0"/>
            <w:vAlign w:val="center"/>
          </w:tcPr>
          <w:p w14:paraId="4945BA06">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40.54-651.9</w:t>
            </w:r>
          </w:p>
        </w:tc>
        <w:tc>
          <w:tcPr>
            <w:tcW w:w="1939" w:type="dxa"/>
            <w:tcBorders>
              <w:tl2br w:val="nil"/>
              <w:tr2bl w:val="nil"/>
            </w:tcBorders>
            <w:noWrap w:val="0"/>
            <w:vAlign w:val="center"/>
          </w:tcPr>
          <w:p w14:paraId="475F4B0F">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0.9404-11.92</w:t>
            </w:r>
          </w:p>
        </w:tc>
      </w:tr>
      <w:tr w14:paraId="1417C8D3">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67" w:type="dxa"/>
            <w:gridSpan w:val="2"/>
            <w:tcBorders>
              <w:tl2br w:val="nil"/>
              <w:tr2bl w:val="nil"/>
            </w:tcBorders>
            <w:noWrap w:val="0"/>
            <w:vAlign w:val="center"/>
          </w:tcPr>
          <w:p w14:paraId="74679010">
            <w:pPr>
              <w:widowControl/>
              <w:snapToGrid w:val="0"/>
              <w:spacing w:before="93" w:beforeLines="30" w:after="93" w:afterLines="3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Cs w:val="21"/>
                <w:highlight w:val="none"/>
              </w:rPr>
              <w:t>标准限值</w:t>
            </w:r>
          </w:p>
        </w:tc>
        <w:tc>
          <w:tcPr>
            <w:tcW w:w="2064" w:type="dxa"/>
            <w:tcBorders>
              <w:tl2br w:val="nil"/>
              <w:tr2bl w:val="nil"/>
            </w:tcBorders>
            <w:noWrap w:val="0"/>
            <w:vAlign w:val="center"/>
          </w:tcPr>
          <w:p w14:paraId="23DDCC94">
            <w:pPr>
              <w:widowControl w:val="0"/>
              <w:spacing w:before="62" w:beforeLines="20" w:after="62" w:afterLines="2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4000</w:t>
            </w:r>
          </w:p>
        </w:tc>
        <w:tc>
          <w:tcPr>
            <w:tcW w:w="1939" w:type="dxa"/>
            <w:tcBorders>
              <w:tl2br w:val="nil"/>
              <w:tr2bl w:val="nil"/>
            </w:tcBorders>
            <w:noWrap w:val="0"/>
            <w:vAlign w:val="center"/>
          </w:tcPr>
          <w:p w14:paraId="45448D9D">
            <w:pPr>
              <w:widowControl w:val="0"/>
              <w:spacing w:before="62" w:beforeLines="20" w:after="62" w:afterLines="2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100</w:t>
            </w:r>
          </w:p>
        </w:tc>
      </w:tr>
      <w:tr w14:paraId="6C5299FD">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67" w:type="dxa"/>
            <w:gridSpan w:val="2"/>
            <w:tcBorders>
              <w:tl2br w:val="nil"/>
              <w:tr2bl w:val="nil"/>
            </w:tcBorders>
            <w:noWrap w:val="0"/>
            <w:vAlign w:val="center"/>
          </w:tcPr>
          <w:p w14:paraId="523C724D">
            <w:pPr>
              <w:widowControl w:val="0"/>
              <w:spacing w:before="31" w:beforeLines="10" w:after="31" w:afterLines="1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达标情况</w:t>
            </w:r>
          </w:p>
        </w:tc>
        <w:tc>
          <w:tcPr>
            <w:tcW w:w="2064" w:type="dxa"/>
            <w:tcBorders>
              <w:tl2br w:val="nil"/>
              <w:tr2bl w:val="nil"/>
            </w:tcBorders>
            <w:noWrap w:val="0"/>
            <w:vAlign w:val="center"/>
          </w:tcPr>
          <w:p w14:paraId="492A0BEF">
            <w:pPr>
              <w:widowControl w:val="0"/>
              <w:spacing w:before="62" w:beforeLines="20" w:after="62" w:afterLines="2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c>
          <w:tcPr>
            <w:tcW w:w="1939" w:type="dxa"/>
            <w:tcBorders>
              <w:tl2br w:val="nil"/>
              <w:tr2bl w:val="nil"/>
            </w:tcBorders>
            <w:noWrap w:val="0"/>
            <w:vAlign w:val="center"/>
          </w:tcPr>
          <w:p w14:paraId="4F2794E4">
            <w:pPr>
              <w:widowControl w:val="0"/>
              <w:spacing w:before="62" w:beforeLines="20" w:after="62" w:afterLines="2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bl>
    <w:p w14:paraId="730512ED">
      <w:pPr>
        <w:keepLines w:val="0"/>
        <w:pageBreakBefore w:val="0"/>
        <w:widowControl w:val="0"/>
        <w:kinsoku/>
        <w:wordWrap/>
        <w:topLinePunct w:val="0"/>
        <w:autoSpaceDE w:val="0"/>
        <w:autoSpaceDN w:val="0"/>
        <w:bidi w:val="0"/>
        <w:adjustRightInd w:val="0"/>
        <w:spacing w:line="440" w:lineRule="exact"/>
        <w:ind w:firstLine="480" w:firstLineChars="200"/>
        <w:jc w:val="both"/>
        <w:textAlignment w:val="auto"/>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由表6可知，类比项目变电站周围的工频电场强度</w:t>
      </w:r>
      <w:r>
        <w:rPr>
          <w:rFonts w:hint="default" w:ascii="Times New Roman" w:hAnsi="Times New Roman" w:eastAsia="宋体" w:cs="Times New Roman"/>
          <w:b w:val="0"/>
          <w:bCs/>
          <w:color w:val="auto"/>
          <w:kern w:val="2"/>
          <w:sz w:val="24"/>
          <w:szCs w:val="21"/>
          <w:highlight w:val="none"/>
          <w:lang w:val="en-US" w:eastAsia="zh-CN" w:bidi="ar-SA"/>
        </w:rPr>
        <w:t>40.54-651.9V/m</w:t>
      </w:r>
      <w:r>
        <w:rPr>
          <w:rFonts w:hint="default" w:ascii="Times New Roman" w:hAnsi="Times New Roman" w:eastAsia="宋体" w:cs="Times New Roman"/>
          <w:b w:val="0"/>
          <w:bCs/>
          <w:color w:val="auto"/>
          <w:kern w:val="2"/>
          <w:sz w:val="24"/>
          <w:szCs w:val="24"/>
          <w:highlight w:val="none"/>
          <w:lang w:val="en-US" w:eastAsia="zh-CN" w:bidi="ar-SA"/>
        </w:rPr>
        <w:t>，工频磁感应强度</w:t>
      </w:r>
      <w:r>
        <w:rPr>
          <w:rFonts w:hint="default" w:ascii="Times New Roman" w:hAnsi="Times New Roman" w:eastAsia="宋体" w:cs="Times New Roman"/>
          <w:b w:val="0"/>
          <w:bCs/>
          <w:color w:val="auto"/>
          <w:kern w:val="2"/>
          <w:sz w:val="24"/>
          <w:szCs w:val="21"/>
          <w:highlight w:val="none"/>
          <w:lang w:val="en-US" w:eastAsia="zh-CN" w:bidi="ar-SA"/>
        </w:rPr>
        <w:t>0.9404-11.92</w:t>
      </w:r>
      <w:r>
        <w:rPr>
          <w:rFonts w:hint="default" w:ascii="Times New Roman" w:hAnsi="Times New Roman" w:eastAsia="宋体" w:cs="Times New Roman"/>
          <w:b w:val="0"/>
          <w:bCs/>
          <w:color w:val="auto"/>
          <w:kern w:val="2"/>
          <w:sz w:val="24"/>
          <w:szCs w:val="24"/>
          <w:highlight w:val="none"/>
          <w:lang w:val="en-US" w:eastAsia="zh-CN" w:bidi="ar-SA"/>
        </w:rPr>
        <w:t>μT，远小于《电磁环境控制限值》(GB8702-2014)中规定公众曝露控制限值：工频电场强度4000V/m，工频磁感应强度100μT。</w:t>
      </w:r>
    </w:p>
    <w:p w14:paraId="6DED2F25">
      <w:pPr>
        <w:keepLines w:val="0"/>
        <w:pageBreakBefore w:val="0"/>
        <w:widowControl w:val="0"/>
        <w:kinsoku/>
        <w:wordWrap/>
        <w:topLinePunct w:val="0"/>
        <w:autoSpaceDE w:val="0"/>
        <w:autoSpaceDN w:val="0"/>
        <w:bidi w:val="0"/>
        <w:adjustRightInd w:val="0"/>
        <w:spacing w:line="360" w:lineRule="auto"/>
        <w:ind w:firstLine="480" w:firstLineChars="200"/>
        <w:jc w:val="both"/>
        <w:textAlignment w:val="auto"/>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（7）类比分析结果</w:t>
      </w:r>
    </w:p>
    <w:p w14:paraId="13A9CD9F">
      <w:pPr>
        <w:keepLines w:val="0"/>
        <w:pageBreakBefore w:val="0"/>
        <w:widowControl w:val="0"/>
        <w:kinsoku/>
        <w:wordWrap/>
        <w:topLinePunct w:val="0"/>
        <w:autoSpaceDE w:val="0"/>
        <w:autoSpaceDN w:val="0"/>
        <w:bidi w:val="0"/>
        <w:adjustRightInd w:val="0"/>
        <w:spacing w:line="360" w:lineRule="auto"/>
        <w:ind w:firstLine="480" w:firstLineChars="200"/>
        <w:jc w:val="both"/>
        <w:textAlignment w:val="auto"/>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类比变电站</w:t>
      </w:r>
      <w:r>
        <w:rPr>
          <w:rFonts w:hint="default" w:ascii="Times New Roman" w:hAnsi="Times New Roman" w:eastAsia="宋体" w:cs="Times New Roman"/>
          <w:color w:val="auto"/>
          <w:spacing w:val="-6"/>
          <w:kern w:val="2"/>
          <w:sz w:val="24"/>
          <w:szCs w:val="24"/>
          <w:highlight w:val="none"/>
          <w:lang w:val="en-US" w:eastAsia="zh-CN" w:bidi="ar-SA"/>
        </w:rPr>
        <w:t>电压等级、架线型式、电气形式、母线形式</w:t>
      </w:r>
      <w:r>
        <w:rPr>
          <w:rFonts w:hint="default" w:ascii="Times New Roman" w:hAnsi="Times New Roman" w:eastAsia="宋体" w:cs="Times New Roman"/>
          <w:b w:val="0"/>
          <w:bCs/>
          <w:color w:val="auto"/>
          <w:kern w:val="2"/>
          <w:sz w:val="24"/>
          <w:szCs w:val="24"/>
          <w:highlight w:val="none"/>
          <w:lang w:val="en-US" w:eastAsia="zh-CN" w:bidi="ar-SA"/>
        </w:rPr>
        <w:t>等技术指标与</w:t>
      </w:r>
      <w:r>
        <w:rPr>
          <w:rFonts w:hint="eastAsia" w:ascii="Times New Roman" w:hAnsi="Times New Roman" w:eastAsia="宋体" w:cs="Times New Roman"/>
          <w:b w:val="0"/>
          <w:bCs/>
          <w:color w:val="auto"/>
          <w:kern w:val="2"/>
          <w:sz w:val="24"/>
          <w:szCs w:val="24"/>
          <w:highlight w:val="none"/>
          <w:lang w:val="en-US" w:eastAsia="zh-CN" w:bidi="ar-SA"/>
        </w:rPr>
        <w:t>本项目一致</w:t>
      </w:r>
      <w:r>
        <w:rPr>
          <w:rFonts w:hint="default" w:ascii="Times New Roman" w:hAnsi="Times New Roman" w:eastAsia="宋体" w:cs="Times New Roman"/>
          <w:b w:val="0"/>
          <w:bCs/>
          <w:color w:val="auto"/>
          <w:kern w:val="2"/>
          <w:sz w:val="24"/>
          <w:szCs w:val="24"/>
          <w:highlight w:val="none"/>
          <w:lang w:val="en-US" w:eastAsia="zh-CN" w:bidi="ar-SA"/>
        </w:rPr>
        <w:t>，</w:t>
      </w:r>
      <w:r>
        <w:rPr>
          <w:rFonts w:hint="eastAsia" w:ascii="Times New Roman" w:hAnsi="Times New Roman" w:eastAsia="宋体" w:cs="Times New Roman"/>
          <w:b w:val="0"/>
          <w:bCs/>
          <w:color w:val="auto"/>
          <w:kern w:val="2"/>
          <w:sz w:val="24"/>
          <w:szCs w:val="24"/>
          <w:highlight w:val="none"/>
          <w:lang w:val="en-US" w:eastAsia="zh-CN" w:bidi="ar-SA"/>
        </w:rPr>
        <w:t>主变容量大于本项目主变容量，</w:t>
      </w:r>
      <w:r>
        <w:rPr>
          <w:rFonts w:hint="default" w:ascii="Times New Roman" w:hAnsi="Times New Roman" w:eastAsia="宋体" w:cs="Times New Roman"/>
          <w:b w:val="0"/>
          <w:bCs/>
          <w:color w:val="auto"/>
          <w:kern w:val="2"/>
          <w:sz w:val="24"/>
          <w:szCs w:val="24"/>
          <w:highlight w:val="none"/>
          <w:lang w:val="en-US" w:eastAsia="zh-CN" w:bidi="ar-SA"/>
        </w:rPr>
        <w:t>因此</w:t>
      </w:r>
      <w:r>
        <w:rPr>
          <w:rFonts w:hint="eastAsia" w:ascii="Times New Roman" w:hAnsi="Times New Roman" w:eastAsia="宋体" w:cs="Times New Roman"/>
          <w:b w:val="0"/>
          <w:bCs/>
          <w:color w:val="auto"/>
          <w:kern w:val="2"/>
          <w:sz w:val="24"/>
          <w:szCs w:val="24"/>
          <w:highlight w:val="none"/>
          <w:lang w:val="en-US" w:eastAsia="zh-CN" w:bidi="ar-SA"/>
        </w:rPr>
        <w:t>本项目</w:t>
      </w:r>
      <w:r>
        <w:rPr>
          <w:rFonts w:hint="default" w:ascii="Times New Roman" w:hAnsi="Times New Roman" w:eastAsia="宋体" w:cs="Times New Roman"/>
          <w:b w:val="0"/>
          <w:bCs/>
          <w:color w:val="auto"/>
          <w:kern w:val="2"/>
          <w:sz w:val="24"/>
          <w:szCs w:val="24"/>
          <w:highlight w:val="none"/>
          <w:lang w:val="en-US" w:eastAsia="zh-CN" w:bidi="ar-SA"/>
        </w:rPr>
        <w:t>升压站建成投运后，场界处的电场强度及磁感应强度满足《电磁环境控制限值》(GB8702-2014)中的公众暴露控制限值要求</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本项目的建设，对升压站周围环境产生的影响在可接受范围。</w:t>
      </w:r>
    </w:p>
    <w:bookmarkEnd w:id="178"/>
    <w:bookmarkEnd w:id="179"/>
    <w:bookmarkEnd w:id="180"/>
    <w:p w14:paraId="6F500B3A">
      <w:pPr>
        <w:pStyle w:val="2"/>
        <w:keepNext w:val="0"/>
        <w:keepLines w:val="0"/>
        <w:pageBreakBefore w:val="0"/>
        <w:widowControl w:val="0"/>
        <w:tabs>
          <w:tab w:val="left" w:pos="425"/>
        </w:tabs>
        <w:wordWrap/>
        <w:topLinePunct w:val="0"/>
        <w:bidi w:val="0"/>
        <w:spacing w:before="159" w:line="460" w:lineRule="exact"/>
        <w:rPr>
          <w:rFonts w:hint="default" w:ascii="Times New Roman" w:hAnsi="Times New Roman" w:cs="Times New Roman"/>
          <w:b/>
          <w:bCs/>
          <w:color w:val="auto"/>
          <w:highlight w:val="none"/>
          <w:lang w:val="en-US" w:eastAsia="zh-CN"/>
        </w:rPr>
      </w:pPr>
      <w:bookmarkStart w:id="184" w:name="_Toc25739"/>
      <w:bookmarkStart w:id="185" w:name="_Toc5960"/>
      <w:bookmarkStart w:id="186" w:name="_Toc13500"/>
      <w:bookmarkStart w:id="187" w:name="_Toc18082"/>
      <w:bookmarkStart w:id="188" w:name="_Toc12462"/>
      <w:bookmarkStart w:id="189" w:name="_Toc94"/>
      <w:bookmarkStart w:id="190" w:name="_Toc48914459"/>
      <w:bookmarkStart w:id="191" w:name="_Toc19312"/>
      <w:bookmarkStart w:id="192" w:name="_Toc944"/>
      <w:r>
        <w:rPr>
          <w:rFonts w:hint="default" w:ascii="Times New Roman" w:hAnsi="Times New Roman" w:cs="Times New Roman"/>
          <w:b/>
          <w:bCs/>
          <w:color w:val="auto"/>
          <w:highlight w:val="none"/>
          <w:lang w:val="en-US" w:eastAsia="zh-CN"/>
        </w:rPr>
        <w:t>4电磁环境敏感目标分析</w:t>
      </w:r>
      <w:bookmarkEnd w:id="184"/>
      <w:bookmarkEnd w:id="185"/>
    </w:p>
    <w:p w14:paraId="75DD1A41">
      <w:pPr>
        <w:keepNext w:val="0"/>
        <w:keepLines w:val="0"/>
        <w:pageBreakBefore w:val="0"/>
        <w:widowControl w:val="0"/>
        <w:kinsoku/>
        <w:wordWrap/>
        <w:topLinePunct w:val="0"/>
        <w:autoSpaceDE w:val="0"/>
        <w:autoSpaceDN w:val="0"/>
        <w:bidi w:val="0"/>
        <w:adjustRightInd w:val="0"/>
        <w:spacing w:line="360" w:lineRule="auto"/>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通过现场踏勘与调查，本项目评价范围内无住宅、学校、医院、办公楼、工厂等有公众居住、工作或学习的建筑物，不存在电磁环境敏感目标。</w:t>
      </w:r>
    </w:p>
    <w:p w14:paraId="7ADE3C36">
      <w:pPr>
        <w:pStyle w:val="2"/>
        <w:keepNext w:val="0"/>
        <w:keepLines w:val="0"/>
        <w:pageBreakBefore w:val="0"/>
        <w:widowControl w:val="0"/>
        <w:tabs>
          <w:tab w:val="left" w:pos="425"/>
        </w:tabs>
        <w:wordWrap/>
        <w:topLinePunct w:val="0"/>
        <w:bidi w:val="0"/>
        <w:spacing w:before="159" w:line="460" w:lineRule="exact"/>
        <w:rPr>
          <w:rFonts w:hint="default" w:ascii="Times New Roman" w:hAnsi="Times New Roman" w:cs="Times New Roman"/>
          <w:b/>
          <w:bCs/>
          <w:color w:val="auto"/>
          <w:highlight w:val="none"/>
          <w:lang w:val="en-US" w:eastAsia="zh-CN"/>
        </w:rPr>
      </w:pPr>
      <w:bookmarkStart w:id="193" w:name="_Toc22065"/>
      <w:bookmarkStart w:id="194" w:name="_Toc32577"/>
      <w:r>
        <w:rPr>
          <w:rFonts w:hint="default" w:ascii="Times New Roman" w:hAnsi="Times New Roman" w:cs="Times New Roman"/>
          <w:b/>
          <w:bCs/>
          <w:color w:val="auto"/>
          <w:highlight w:val="none"/>
          <w:lang w:val="en-US" w:eastAsia="zh-CN"/>
        </w:rPr>
        <w:t>5电磁环境保护措施</w:t>
      </w:r>
      <w:bookmarkEnd w:id="193"/>
      <w:bookmarkEnd w:id="194"/>
    </w:p>
    <w:p w14:paraId="6CAFF32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合理布局站内电气设备及配电装置</w:t>
      </w:r>
      <w:r>
        <w:rPr>
          <w:rFonts w:hint="default" w:ascii="Times New Roman" w:hAnsi="Times New Roman" w:eastAsia="宋体" w:cs="Times New Roman"/>
          <w:color w:val="auto"/>
          <w:sz w:val="24"/>
          <w:highlight w:val="none"/>
          <w:lang w:eastAsia="zh-CN"/>
        </w:rPr>
        <w:t>；</w:t>
      </w:r>
    </w:p>
    <w:p w14:paraId="14A04AB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w:t>
      </w:r>
      <w:r>
        <w:rPr>
          <w:rFonts w:hint="eastAsia" w:ascii="Times New Roman" w:hAnsi="Times New Roman" w:eastAsia="宋体" w:cs="Times New Roman"/>
          <w:b w:val="0"/>
          <w:bCs w:val="0"/>
          <w:color w:val="auto"/>
          <w:kern w:val="0"/>
          <w:sz w:val="24"/>
          <w:szCs w:val="24"/>
          <w:highlight w:val="none"/>
          <w:lang w:val="en-US" w:eastAsia="zh-CN"/>
        </w:rPr>
        <w:t>2</w:t>
      </w:r>
      <w:r>
        <w:rPr>
          <w:rFonts w:hint="default" w:ascii="Times New Roman" w:hAnsi="Times New Roman" w:eastAsia="宋体" w:cs="Times New Roman"/>
          <w:b w:val="0"/>
          <w:bCs w:val="0"/>
          <w:color w:val="auto"/>
          <w:kern w:val="0"/>
          <w:sz w:val="24"/>
          <w:szCs w:val="24"/>
          <w:highlight w:val="none"/>
          <w:lang w:val="en-US" w:eastAsia="zh-CN"/>
        </w:rPr>
        <w:t>）应加强对</w:t>
      </w:r>
      <w:r>
        <w:rPr>
          <w:rFonts w:hint="eastAsia" w:ascii="Times New Roman" w:hAnsi="Times New Roman" w:eastAsia="宋体" w:cs="Times New Roman"/>
          <w:b w:val="0"/>
          <w:bCs w:val="0"/>
          <w:color w:val="auto"/>
          <w:kern w:val="0"/>
          <w:sz w:val="24"/>
          <w:szCs w:val="24"/>
          <w:highlight w:val="none"/>
          <w:lang w:val="en-US" w:eastAsia="zh-CN"/>
        </w:rPr>
        <w:t>升压站</w:t>
      </w:r>
      <w:r>
        <w:rPr>
          <w:rFonts w:hint="default" w:ascii="Times New Roman" w:hAnsi="Times New Roman" w:eastAsia="宋体" w:cs="Times New Roman"/>
          <w:b w:val="0"/>
          <w:bCs w:val="0"/>
          <w:color w:val="auto"/>
          <w:kern w:val="0"/>
          <w:sz w:val="24"/>
          <w:szCs w:val="24"/>
          <w:highlight w:val="none"/>
          <w:lang w:val="en-US" w:eastAsia="zh-CN"/>
        </w:rPr>
        <w:t>的维护和管理，保证</w:t>
      </w:r>
      <w:r>
        <w:rPr>
          <w:rFonts w:hint="eastAsia" w:ascii="Times New Roman" w:hAnsi="Times New Roman" w:eastAsia="宋体" w:cs="Times New Roman"/>
          <w:b w:val="0"/>
          <w:bCs w:val="0"/>
          <w:color w:val="auto"/>
          <w:kern w:val="0"/>
          <w:sz w:val="24"/>
          <w:szCs w:val="24"/>
          <w:highlight w:val="none"/>
          <w:lang w:val="en-US" w:eastAsia="zh-CN"/>
        </w:rPr>
        <w:t>升压站</w:t>
      </w:r>
      <w:r>
        <w:rPr>
          <w:rFonts w:hint="default" w:ascii="Times New Roman" w:hAnsi="Times New Roman" w:eastAsia="宋体" w:cs="Times New Roman"/>
          <w:b w:val="0"/>
          <w:bCs w:val="0"/>
          <w:color w:val="auto"/>
          <w:kern w:val="0"/>
          <w:sz w:val="24"/>
          <w:szCs w:val="24"/>
          <w:highlight w:val="none"/>
          <w:lang w:val="en-US" w:eastAsia="zh-CN"/>
        </w:rPr>
        <w:t>处于正常运行状态；</w:t>
      </w:r>
    </w:p>
    <w:p w14:paraId="456F4D3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w:t>
      </w:r>
      <w:r>
        <w:rPr>
          <w:rFonts w:hint="eastAsia" w:ascii="Times New Roman" w:hAnsi="Times New Roman" w:eastAsia="宋体" w:cs="Times New Roman"/>
          <w:b w:val="0"/>
          <w:bCs w:val="0"/>
          <w:color w:val="auto"/>
          <w:kern w:val="0"/>
          <w:sz w:val="24"/>
          <w:szCs w:val="24"/>
          <w:highlight w:val="none"/>
          <w:lang w:val="en-US" w:eastAsia="zh-CN"/>
        </w:rPr>
        <w:t>3</w:t>
      </w:r>
      <w:r>
        <w:rPr>
          <w:rFonts w:hint="default" w:ascii="Times New Roman" w:hAnsi="Times New Roman" w:eastAsia="宋体" w:cs="Times New Roman"/>
          <w:b w:val="0"/>
          <w:bCs w:val="0"/>
          <w:color w:val="auto"/>
          <w:kern w:val="0"/>
          <w:sz w:val="24"/>
          <w:szCs w:val="24"/>
          <w:highlight w:val="none"/>
          <w:lang w:val="en-US" w:eastAsia="zh-CN"/>
        </w:rPr>
        <w:t>）在</w:t>
      </w:r>
      <w:r>
        <w:rPr>
          <w:rFonts w:hint="eastAsia" w:ascii="Times New Roman" w:hAnsi="Times New Roman" w:eastAsia="宋体" w:cs="Times New Roman"/>
          <w:b w:val="0"/>
          <w:bCs w:val="0"/>
          <w:color w:val="auto"/>
          <w:kern w:val="0"/>
          <w:sz w:val="24"/>
          <w:szCs w:val="24"/>
          <w:highlight w:val="none"/>
          <w:lang w:val="en-US" w:eastAsia="zh-CN"/>
        </w:rPr>
        <w:t>升压站</w:t>
      </w:r>
      <w:r>
        <w:rPr>
          <w:rFonts w:hint="default" w:ascii="Times New Roman" w:hAnsi="Times New Roman" w:eastAsia="宋体" w:cs="Times New Roman"/>
          <w:b w:val="0"/>
          <w:bCs w:val="0"/>
          <w:color w:val="auto"/>
          <w:kern w:val="0"/>
          <w:sz w:val="24"/>
          <w:szCs w:val="24"/>
          <w:highlight w:val="none"/>
          <w:lang w:val="en-US" w:eastAsia="zh-CN"/>
        </w:rPr>
        <w:t>周围设置围栏，防止人员近距离接触；设立电磁辐射安全警示标志；</w:t>
      </w:r>
    </w:p>
    <w:p w14:paraId="13479E0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w:t>
      </w:r>
      <w:r>
        <w:rPr>
          <w:rFonts w:hint="eastAsia" w:ascii="Times New Roman" w:hAnsi="Times New Roman" w:eastAsia="宋体" w:cs="Times New Roman"/>
          <w:b w:val="0"/>
          <w:bCs w:val="0"/>
          <w:color w:val="auto"/>
          <w:kern w:val="0"/>
          <w:sz w:val="24"/>
          <w:szCs w:val="24"/>
          <w:highlight w:val="none"/>
          <w:lang w:val="en-US" w:eastAsia="zh-CN"/>
        </w:rPr>
        <w:t>4</w:t>
      </w:r>
      <w:r>
        <w:rPr>
          <w:rFonts w:hint="default" w:ascii="Times New Roman" w:hAnsi="Times New Roman" w:eastAsia="宋体" w:cs="Times New Roman"/>
          <w:b w:val="0"/>
          <w:bCs w:val="0"/>
          <w:color w:val="auto"/>
          <w:kern w:val="0"/>
          <w:sz w:val="24"/>
          <w:szCs w:val="24"/>
          <w:highlight w:val="none"/>
          <w:lang w:val="en-US" w:eastAsia="zh-CN"/>
        </w:rPr>
        <w:t>）在厂内线路、构架等处设施警示标识，禁止人员靠近线路等；</w:t>
      </w:r>
    </w:p>
    <w:p w14:paraId="768829CF">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w:t>
      </w:r>
      <w:r>
        <w:rPr>
          <w:rFonts w:hint="eastAsia" w:ascii="Times New Roman" w:hAnsi="Times New Roman" w:eastAsia="宋体" w:cs="Times New Roman"/>
          <w:b w:val="0"/>
          <w:bCs w:val="0"/>
          <w:color w:val="auto"/>
          <w:kern w:val="0"/>
          <w:sz w:val="24"/>
          <w:szCs w:val="24"/>
          <w:highlight w:val="none"/>
          <w:lang w:val="en-US" w:eastAsia="zh-CN"/>
        </w:rPr>
        <w:t>5</w:t>
      </w:r>
      <w:r>
        <w:rPr>
          <w:rFonts w:hint="default" w:ascii="Times New Roman" w:hAnsi="Times New Roman" w:eastAsia="宋体" w:cs="Times New Roman"/>
          <w:b w:val="0"/>
          <w:bCs w:val="0"/>
          <w:color w:val="auto"/>
          <w:kern w:val="0"/>
          <w:sz w:val="24"/>
          <w:szCs w:val="24"/>
          <w:highlight w:val="none"/>
          <w:lang w:val="en-US" w:eastAsia="zh-CN"/>
        </w:rPr>
        <w:t>）制定安全操作规程，加强职工安全教育，加强电磁水平监测；</w:t>
      </w:r>
    </w:p>
    <w:p w14:paraId="187D144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w:t>
      </w:r>
      <w:r>
        <w:rPr>
          <w:rFonts w:hint="eastAsia" w:ascii="Times New Roman" w:hAnsi="Times New Roman" w:eastAsia="宋体" w:cs="Times New Roman"/>
          <w:b w:val="0"/>
          <w:bCs w:val="0"/>
          <w:color w:val="auto"/>
          <w:kern w:val="0"/>
          <w:sz w:val="24"/>
          <w:szCs w:val="24"/>
          <w:highlight w:val="none"/>
          <w:lang w:val="en-US" w:eastAsia="zh-CN"/>
        </w:rPr>
        <w:t>6</w:t>
      </w:r>
      <w:r>
        <w:rPr>
          <w:rFonts w:hint="default" w:ascii="Times New Roman" w:hAnsi="Times New Roman" w:eastAsia="宋体" w:cs="Times New Roman"/>
          <w:b w:val="0"/>
          <w:bCs w:val="0"/>
          <w:color w:val="auto"/>
          <w:kern w:val="0"/>
          <w:sz w:val="24"/>
          <w:szCs w:val="24"/>
          <w:highlight w:val="none"/>
          <w:lang w:val="en-US" w:eastAsia="zh-CN"/>
        </w:rPr>
        <w:t>）对员工进行电磁辐射基础知识培训，在巡检带电维修过程中，尽可能减少暴露在电磁场中的时间；</w:t>
      </w:r>
    </w:p>
    <w:p w14:paraId="4D8208A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通过落实上述措施，本项目运行期</w:t>
      </w:r>
      <w:r>
        <w:rPr>
          <w:rFonts w:hint="eastAsia" w:ascii="Times New Roman" w:hAnsi="Times New Roman" w:eastAsia="宋体" w:cs="Times New Roman"/>
          <w:b w:val="0"/>
          <w:bCs w:val="0"/>
          <w:color w:val="auto"/>
          <w:kern w:val="0"/>
          <w:sz w:val="24"/>
          <w:szCs w:val="24"/>
          <w:highlight w:val="none"/>
          <w:lang w:val="en-US" w:eastAsia="zh-CN"/>
        </w:rPr>
        <w:t>升压站</w:t>
      </w:r>
      <w:r>
        <w:rPr>
          <w:rFonts w:hint="default" w:ascii="Times New Roman" w:hAnsi="Times New Roman" w:eastAsia="宋体" w:cs="Times New Roman"/>
          <w:b w:val="0"/>
          <w:bCs w:val="0"/>
          <w:color w:val="auto"/>
          <w:kern w:val="0"/>
          <w:sz w:val="24"/>
          <w:szCs w:val="24"/>
          <w:highlight w:val="none"/>
          <w:lang w:val="en-US" w:eastAsia="zh-CN"/>
        </w:rPr>
        <w:t>产生的电磁场对周边环境影响较小，在可接受范围内。</w:t>
      </w:r>
    </w:p>
    <w:p w14:paraId="580EA2D5">
      <w:pPr>
        <w:pStyle w:val="2"/>
        <w:keepNext w:val="0"/>
        <w:keepLines w:val="0"/>
        <w:pageBreakBefore w:val="0"/>
        <w:widowControl w:val="0"/>
        <w:tabs>
          <w:tab w:val="left" w:pos="425"/>
        </w:tabs>
        <w:wordWrap/>
        <w:topLinePunct w:val="0"/>
        <w:bidi w:val="0"/>
        <w:spacing w:before="159" w:line="460" w:lineRule="exact"/>
        <w:rPr>
          <w:rFonts w:hint="default" w:ascii="Times New Roman" w:hAnsi="Times New Roman" w:cs="Times New Roman"/>
          <w:b/>
          <w:bCs/>
          <w:color w:val="auto"/>
          <w:highlight w:val="none"/>
          <w:lang w:val="en-US" w:eastAsia="zh-CN"/>
        </w:rPr>
      </w:pPr>
      <w:bookmarkStart w:id="195" w:name="_Toc13479"/>
      <w:bookmarkStart w:id="196" w:name="_Toc9927"/>
      <w:r>
        <w:rPr>
          <w:rFonts w:hint="default" w:ascii="Times New Roman" w:hAnsi="Times New Roman" w:cs="Times New Roman"/>
          <w:b/>
          <w:bCs/>
          <w:color w:val="auto"/>
          <w:highlight w:val="none"/>
          <w:lang w:val="en-US" w:eastAsia="zh-CN"/>
        </w:rPr>
        <w:t>6电磁环境影响评价结论</w:t>
      </w:r>
      <w:bookmarkEnd w:id="195"/>
      <w:bookmarkEnd w:id="196"/>
    </w:p>
    <w:p w14:paraId="389DB183">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根据类比分析结果，220kV</w:t>
      </w:r>
      <w:r>
        <w:rPr>
          <w:rFonts w:hint="eastAsia" w:ascii="Times New Roman" w:hAnsi="Times New Roman" w:eastAsia="宋体" w:cs="Times New Roman"/>
          <w:b w:val="0"/>
          <w:bCs w:val="0"/>
          <w:color w:val="auto"/>
          <w:kern w:val="0"/>
          <w:sz w:val="24"/>
          <w:szCs w:val="24"/>
          <w:highlight w:val="none"/>
          <w:lang w:val="en-US" w:eastAsia="zh-CN"/>
        </w:rPr>
        <w:t>升压站建成</w:t>
      </w:r>
      <w:r>
        <w:rPr>
          <w:rFonts w:hint="default" w:ascii="Times New Roman" w:hAnsi="Times New Roman" w:eastAsia="宋体" w:cs="Times New Roman"/>
          <w:b w:val="0"/>
          <w:bCs w:val="0"/>
          <w:color w:val="auto"/>
          <w:kern w:val="0"/>
          <w:sz w:val="24"/>
          <w:szCs w:val="24"/>
          <w:highlight w:val="none"/>
          <w:lang w:val="en-US" w:eastAsia="zh-CN"/>
        </w:rPr>
        <w:t xml:space="preserve">后，对其周围环境产生的影响在可接受范围，主变周围电磁环境影响可满足《电磁环境控制限值》 (GB8702-2014)中频率为50Hz时的工频电场强度≤4kV/m、工频磁感应强度≤100 μT 的限值要求，对周边的电磁环境影响较小。 </w:t>
      </w:r>
    </w:p>
    <w:p w14:paraId="5AA92152">
      <w:pPr>
        <w:keepNext w:val="0"/>
        <w:keepLines w:val="0"/>
        <w:pageBreakBefore w:val="0"/>
        <w:widowControl w:val="0"/>
        <w:kinsoku/>
        <w:wordWrap/>
        <w:topLinePunct w:val="0"/>
        <w:bidi w:val="0"/>
        <w:snapToGrid w:val="0"/>
        <w:spacing w:line="360" w:lineRule="auto"/>
        <w:ind w:firstLine="420" w:firstLineChars="200"/>
        <w:textAlignment w:val="auto"/>
        <w:rPr>
          <w:rFonts w:hint="default" w:ascii="Times New Roman" w:hAnsi="Times New Roman" w:eastAsia="宋体" w:cs="Times New Roman"/>
          <w:color w:val="auto"/>
          <w:highlight w:val="none"/>
        </w:rPr>
      </w:pPr>
    </w:p>
    <w:p w14:paraId="0DE5FAAD">
      <w:pPr>
        <w:keepNext w:val="0"/>
        <w:keepLines w:val="0"/>
        <w:pageBreakBefore w:val="0"/>
        <w:widowControl w:val="0"/>
        <w:kinsoku/>
        <w:wordWrap/>
        <w:topLinePunct w:val="0"/>
        <w:bidi w:val="0"/>
        <w:snapToGrid w:val="0"/>
        <w:spacing w:line="360" w:lineRule="auto"/>
        <w:ind w:firstLine="420" w:firstLineChars="200"/>
        <w:textAlignment w:val="auto"/>
        <w:rPr>
          <w:rFonts w:hint="default" w:ascii="Times New Roman" w:hAnsi="Times New Roman" w:eastAsia="宋体" w:cs="Times New Roman"/>
          <w:color w:val="auto"/>
          <w:highlight w:val="none"/>
        </w:rPr>
      </w:pPr>
    </w:p>
    <w:bookmarkEnd w:id="181"/>
    <w:bookmarkEnd w:id="182"/>
    <w:bookmarkEnd w:id="186"/>
    <w:bookmarkEnd w:id="187"/>
    <w:bookmarkEnd w:id="188"/>
    <w:bookmarkEnd w:id="189"/>
    <w:bookmarkEnd w:id="190"/>
    <w:bookmarkEnd w:id="191"/>
    <w:bookmarkEnd w:id="192"/>
    <w:p w14:paraId="637BABAE">
      <w:pPr>
        <w:keepNext w:val="0"/>
        <w:keepLines w:val="0"/>
        <w:pageBreakBefore w:val="0"/>
        <w:widowControl w:val="0"/>
        <w:wordWrap/>
        <w:topLinePunct w:val="0"/>
        <w:bidi w:val="0"/>
        <w:jc w:val="cente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pPr>
      <w:bookmarkStart w:id="197" w:name="_GoBack"/>
      <w:bookmarkEnd w:id="197"/>
    </w:p>
    <w:p w14:paraId="7A7B23F2"/>
    <w:sectPr>
      <w:headerReference r:id="rId5" w:type="default"/>
      <w:footerReference r:id="rId6" w:type="default"/>
      <w:pgSz w:w="11905" w:h="16838"/>
      <w:pgMar w:top="1440" w:right="1803" w:bottom="1440" w:left="1803" w:header="851" w:footer="992" w:gutter="0"/>
      <w:pgBorders>
        <w:top w:val="none" w:sz="0" w:space="0"/>
        <w:left w:val="none" w:sz="0" w:space="0"/>
        <w:bottom w:val="none" w:sz="0" w:space="0"/>
        <w:right w:val="none" w:sz="0" w:space="0"/>
      </w:pgBorders>
      <w:pgNumType w:fmt="decimal"/>
      <w:cols w:space="72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02"/>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仿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9C67B">
    <w:pPr>
      <w:pStyle w:val="11"/>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3E4025">
                          <w:pPr>
                            <w:pStyle w:val="11"/>
                            <w:rPr>
                              <w:rStyle w:val="21"/>
                              <w:rFonts w:ascii="宋体" w:hAnsi="宋体"/>
                              <w:sz w:val="28"/>
                              <w:szCs w:val="28"/>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493E4025">
                    <w:pPr>
                      <w:pStyle w:val="11"/>
                      <w:rPr>
                        <w:rStyle w:val="21"/>
                        <w:rFonts w:ascii="宋体" w:hAnsi="宋体"/>
                        <w:sz w:val="28"/>
                        <w:szCs w:val="2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19C29">
    <w:pPr>
      <w:pStyle w:val="11"/>
      <w:ind w:right="360"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51EBF86">
                          <w:pPr>
                            <w:pStyle w:val="11"/>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14:paraId="751EBF86">
                    <w:pPr>
                      <w:pStyle w:val="11"/>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7DF2091">
                          <w:pPr>
                            <w:pStyle w:val="11"/>
                            <w:rPr>
                              <w:rStyle w:val="21"/>
                              <w:rFonts w:ascii="宋体" w:hAnsi="宋体"/>
                              <w:sz w:val="28"/>
                              <w:szCs w:val="28"/>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tkm6sk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G2SbqyQEAAJsDAAAOAAAAAAAAAAEAIAAAAB4BAABkcnMvZTJvRG9j&#10;LnhtbFBLBQYAAAAABgAGAFkBAABZBQAAAAA=&#10;">
              <v:fill on="f" focussize="0,0"/>
              <v:stroke on="f"/>
              <v:imagedata o:title=""/>
              <o:lock v:ext="edit" aspectratio="f"/>
              <v:textbox inset="0mm,0mm,0mm,0mm" style="mso-fit-shape-to-text:t;">
                <w:txbxContent>
                  <w:p w14:paraId="37DF2091">
                    <w:pPr>
                      <w:pStyle w:val="11"/>
                      <w:rPr>
                        <w:rStyle w:val="21"/>
                        <w:rFonts w:ascii="宋体" w:hAnsi="宋体"/>
                        <w:sz w:val="28"/>
                        <w:szCs w:val="2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1E151">
    <w:pPr>
      <w:pStyle w:val="11"/>
      <w:jc w:val="center"/>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FB9D54">
                          <w:pPr>
                            <w:pStyle w:val="11"/>
                            <w:jc w:val="center"/>
                          </w:pPr>
                          <w:r>
                            <w:fldChar w:fldCharType="begin"/>
                          </w:r>
                          <w:r>
                            <w:instrText xml:space="preserve">PAGE   \* MERGEFORMAT</w:instrText>
                          </w:r>
                          <w:r>
                            <w:fldChar w:fldCharType="separate"/>
                          </w:r>
                          <w:r>
                            <w:rPr>
                              <w:lang w:val="zh-CN"/>
                            </w:rP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SHLdso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Dc3fc4sTPP3+cfz2eH74T&#10;9KFAfYAa8+4CZqbhvR9wbWY/oDPzHlS0+YuMCMZR3tNFXjkkIvKj1XK1qjAkMDZfEJ89PQ8R0gfp&#10;LclGQyPOr8jKj58gjalzSq7m/K02pszQuL8ciJk9LPc+9pitNOyGidDOtyfk0+PoG+pw0ykxHx0q&#10;m7dkNuJs7GbjEKLed2WNcj0I7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ZSHLdsoBAACbAwAADgAAAAAAAAABACAAAAAeAQAAZHJzL2Uyb0Rv&#10;Yy54bWxQSwUGAAAAAAYABgBZAQAAWgUAAAAA&#10;">
              <v:fill on="f" focussize="0,0"/>
              <v:stroke on="f"/>
              <v:imagedata o:title=""/>
              <o:lock v:ext="edit" aspectratio="f"/>
              <v:textbox inset="0mm,0mm,0mm,0mm" style="mso-fit-shape-to-text:t;">
                <w:txbxContent>
                  <w:p w14:paraId="78FB9D54">
                    <w:pPr>
                      <w:pStyle w:val="11"/>
                      <w:jc w:val="center"/>
                    </w:pPr>
                    <w:r>
                      <w:fldChar w:fldCharType="begin"/>
                    </w:r>
                    <w:r>
                      <w:instrText xml:space="preserve">PAGE   \* MERGEFORMAT</w:instrText>
                    </w:r>
                    <w:r>
                      <w:fldChar w:fldCharType="separate"/>
                    </w:r>
                    <w:r>
                      <w:rPr>
                        <w:lang w:val="zh-CN"/>
                      </w:rP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2911E">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2431AE"/>
    <w:multiLevelType w:val="singleLevel"/>
    <w:tmpl w:val="872431AE"/>
    <w:lvl w:ilvl="0" w:tentative="0">
      <w:start w:val="2"/>
      <w:numFmt w:val="decimal"/>
      <w:lvlText w:val="%1."/>
      <w:lvlJc w:val="left"/>
      <w:pPr>
        <w:tabs>
          <w:tab w:val="left" w:pos="312"/>
        </w:tabs>
      </w:pPr>
    </w:lvl>
  </w:abstractNum>
  <w:abstractNum w:abstractNumId="1">
    <w:nsid w:val="BC758C20"/>
    <w:multiLevelType w:val="singleLevel"/>
    <w:tmpl w:val="BC758C20"/>
    <w:lvl w:ilvl="0" w:tentative="0">
      <w:start w:val="1"/>
      <w:numFmt w:val="chineseCounting"/>
      <w:suff w:val="nothing"/>
      <w:lvlText w:val="%1、"/>
      <w:lvlJc w:val="left"/>
      <w:rPr>
        <w:rFonts w:hint="eastAsia"/>
      </w:rPr>
    </w:lvl>
  </w:abstractNum>
  <w:abstractNum w:abstractNumId="2">
    <w:nsid w:val="C0AB2DCF"/>
    <w:multiLevelType w:val="singleLevel"/>
    <w:tmpl w:val="C0AB2DCF"/>
    <w:lvl w:ilvl="0" w:tentative="0">
      <w:start w:val="1"/>
      <w:numFmt w:val="decimal"/>
      <w:lvlText w:val="%1."/>
      <w:lvlJc w:val="left"/>
      <w:pPr>
        <w:tabs>
          <w:tab w:val="left" w:pos="312"/>
        </w:tabs>
      </w:pPr>
    </w:lvl>
  </w:abstractNum>
  <w:abstractNum w:abstractNumId="3">
    <w:nsid w:val="E8B41E67"/>
    <w:multiLevelType w:val="singleLevel"/>
    <w:tmpl w:val="E8B41E67"/>
    <w:lvl w:ilvl="0" w:tentative="0">
      <w:start w:val="1"/>
      <w:numFmt w:val="decimal"/>
      <w:suff w:val="nothing"/>
      <w:lvlText w:val="（%1）"/>
      <w:lvlJc w:val="left"/>
    </w:lvl>
  </w:abstractNum>
  <w:abstractNum w:abstractNumId="4">
    <w:nsid w:val="2105EE3F"/>
    <w:multiLevelType w:val="singleLevel"/>
    <w:tmpl w:val="2105EE3F"/>
    <w:lvl w:ilvl="0" w:tentative="0">
      <w:start w:val="4"/>
      <w:numFmt w:val="decimal"/>
      <w:suff w:val="nothing"/>
      <w:lvlText w:val="（%1）"/>
      <w:lvlJc w:val="left"/>
      <w:pPr>
        <w:ind w:left="-60"/>
      </w:pPr>
    </w:lvl>
  </w:abstractNum>
  <w:abstractNum w:abstractNumId="5">
    <w:nsid w:val="2F09D97D"/>
    <w:multiLevelType w:val="singleLevel"/>
    <w:tmpl w:val="2F09D97D"/>
    <w:lvl w:ilvl="0" w:tentative="0">
      <w:start w:val="1"/>
      <w:numFmt w:val="decimal"/>
      <w:lvlText w:val="%1."/>
      <w:lvlJc w:val="left"/>
      <w:pPr>
        <w:tabs>
          <w:tab w:val="left" w:pos="312"/>
        </w:tabs>
      </w:pPr>
    </w:lvl>
  </w:abstractNum>
  <w:abstractNum w:abstractNumId="6">
    <w:nsid w:val="309507DF"/>
    <w:multiLevelType w:val="multilevel"/>
    <w:tmpl w:val="309507DF"/>
    <w:lvl w:ilvl="0" w:tentative="0">
      <w:start w:val="1"/>
      <w:numFmt w:val="decimal"/>
      <w:suff w:val="nothing"/>
      <w:lvlText w:val="第%1章"/>
      <w:lvlJc w:val="left"/>
      <w:pPr>
        <w:ind w:left="0" w:firstLine="0"/>
      </w:pPr>
      <w:rPr>
        <w:rFonts w:hint="eastAsia"/>
      </w:rPr>
    </w:lvl>
    <w:lvl w:ilvl="1" w:tentative="0">
      <w:start w:val="1"/>
      <w:numFmt w:val="decimal"/>
      <w:suff w:val="nothing"/>
      <w:lvlText w:val="%1.%2"/>
      <w:lvlJc w:val="left"/>
      <w:pPr>
        <w:ind w:left="1701" w:firstLine="0"/>
      </w:pPr>
      <w:rPr>
        <w:rFonts w:hint="eastAsia"/>
      </w:rPr>
    </w:lvl>
    <w:lvl w:ilvl="2" w:tentative="0">
      <w:start w:val="1"/>
      <w:numFmt w:val="decimal"/>
      <w:pStyle w:val="4"/>
      <w:suff w:val="nothing"/>
      <w:lvlText w:val="%1.%2.%3"/>
      <w:lvlJc w:val="left"/>
      <w:pPr>
        <w:ind w:left="0" w:firstLine="0"/>
      </w:pPr>
      <w:rPr>
        <w:rFonts w:hint="eastAsia"/>
      </w:rPr>
    </w:lvl>
    <w:lvl w:ilvl="3" w:tentative="0">
      <w:start w:val="1"/>
      <w:numFmt w:val="decimal"/>
      <w:suff w:val="nothing"/>
      <w:lvlText w:val="%1.%2.%3.%4"/>
      <w:lvlJc w:val="left"/>
      <w:pPr>
        <w:ind w:left="710" w:firstLine="0"/>
      </w:pPr>
      <w:rPr>
        <w:rFonts w:hint="eastAsia"/>
        <w:lang w:eastAsia="zh-CN"/>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num w:numId="1">
    <w:abstractNumId w:val="6"/>
  </w:num>
  <w:num w:numId="2">
    <w:abstractNumId w:val="1"/>
  </w:num>
  <w:num w:numId="3">
    <w:abstractNumId w:val="0"/>
  </w:num>
  <w:num w:numId="4">
    <w:abstractNumId w:val="2"/>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2Mjc2OWQ5ZTYwNGEzOTNhNTJlNWYxMDRhMTQ3YjUifQ=="/>
  </w:docVars>
  <w:rsids>
    <w:rsidRoot w:val="3FDC1D88"/>
    <w:rsid w:val="27560EFA"/>
    <w:rsid w:val="3FDC1D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uiPriority w:val="0"/>
    <w:pPr>
      <w:keepNext/>
      <w:keepLines/>
      <w:spacing w:before="260" w:beforeLines="0" w:beforeAutospacing="0" w:after="260" w:afterLines="0" w:afterAutospacing="0" w:line="415" w:lineRule="auto"/>
      <w:outlineLvl w:val="1"/>
    </w:pPr>
    <w:rPr>
      <w:rFonts w:ascii="Arial" w:hAnsi="Arial" w:eastAsia="黑体"/>
      <w:b/>
      <w:kern w:val="2"/>
      <w:sz w:val="32"/>
      <w:lang w:val="en-US" w:eastAsia="zh-CN"/>
    </w:rPr>
  </w:style>
  <w:style w:type="paragraph" w:styleId="4">
    <w:name w:val="heading 3"/>
    <w:basedOn w:val="1"/>
    <w:next w:val="1"/>
    <w:qFormat/>
    <w:uiPriority w:val="0"/>
    <w:pPr>
      <w:keepNext/>
      <w:keepLines/>
      <w:numPr>
        <w:ilvl w:val="2"/>
        <w:numId w:val="1"/>
      </w:numPr>
      <w:spacing w:before="200" w:after="200" w:line="360" w:lineRule="auto"/>
      <w:ind w:firstLine="0" w:firstLineChars="0"/>
      <w:outlineLvl w:val="2"/>
    </w:pPr>
    <w:rPr>
      <w:b/>
      <w:bCs/>
      <w:sz w:val="24"/>
      <w:szCs w:val="32"/>
    </w:rPr>
  </w:style>
  <w:style w:type="paragraph" w:styleId="5">
    <w:name w:val="heading 4"/>
    <w:basedOn w:val="1"/>
    <w:next w:val="1"/>
    <w:qFormat/>
    <w:uiPriority w:val="0"/>
    <w:pPr>
      <w:keepNext/>
      <w:keepLines/>
      <w:tabs>
        <w:tab w:val="left" w:pos="864"/>
      </w:tabs>
      <w:ind w:firstLine="0" w:firstLineChars="0"/>
      <w:outlineLvl w:val="3"/>
    </w:pPr>
    <w:rPr>
      <w:rFonts w:ascii="宋体" w:hAnsi="宋体"/>
      <w:b/>
      <w:bCs/>
      <w:szCs w:val="28"/>
    </w:rPr>
  </w:style>
  <w:style w:type="character" w:default="1" w:styleId="20">
    <w:name w:val="Default Paragraph Font"/>
    <w:semiHidden/>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6">
    <w:name w:val="Normal Indent"/>
    <w:basedOn w:val="1"/>
    <w:next w:val="5"/>
    <w:qFormat/>
    <w:uiPriority w:val="0"/>
    <w:pPr>
      <w:adjustRightInd w:val="0"/>
      <w:spacing w:line="360" w:lineRule="auto"/>
      <w:textAlignment w:val="baseline"/>
    </w:pPr>
    <w:rPr>
      <w:kern w:val="0"/>
      <w:sz w:val="28"/>
      <w:szCs w:val="20"/>
    </w:rPr>
  </w:style>
  <w:style w:type="paragraph" w:styleId="7">
    <w:name w:val="annotation text"/>
    <w:basedOn w:val="1"/>
    <w:qFormat/>
    <w:uiPriority w:val="0"/>
    <w:pPr>
      <w:jc w:val="left"/>
    </w:pPr>
    <w:rPr>
      <w:kern w:val="0"/>
      <w:sz w:val="20"/>
    </w:rPr>
  </w:style>
  <w:style w:type="paragraph" w:styleId="8">
    <w:name w:val="Body Text"/>
    <w:basedOn w:val="1"/>
    <w:qFormat/>
    <w:uiPriority w:val="0"/>
    <w:pPr>
      <w:widowControl/>
      <w:snapToGrid w:val="0"/>
      <w:spacing w:before="60" w:after="160" w:line="259" w:lineRule="auto"/>
      <w:ind w:right="113"/>
    </w:pPr>
    <w:rPr>
      <w:kern w:val="0"/>
      <w:sz w:val="18"/>
      <w:szCs w:val="18"/>
    </w:rPr>
  </w:style>
  <w:style w:type="paragraph" w:styleId="9">
    <w:name w:val="Body Text Indent"/>
    <w:basedOn w:val="1"/>
    <w:next w:val="1"/>
    <w:semiHidden/>
    <w:qFormat/>
    <w:uiPriority w:val="0"/>
    <w:pPr>
      <w:spacing w:after="120"/>
      <w:ind w:left="420" w:leftChars="200"/>
    </w:pPr>
  </w:style>
  <w:style w:type="paragraph" w:styleId="10">
    <w:name w:val="Body Text Indent 2"/>
    <w:basedOn w:val="1"/>
    <w:qFormat/>
    <w:uiPriority w:val="0"/>
    <w:pPr>
      <w:adjustRightInd w:val="0"/>
      <w:ind w:firstLine="420"/>
      <w:textAlignment w:val="baseline"/>
    </w:pPr>
    <w:rPr>
      <w:rFonts w:ascii="宋体"/>
      <w:kern w:val="0"/>
      <w:szCs w:val="20"/>
    </w:r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pPr>
      <w:tabs>
        <w:tab w:val="right" w:leader="dot" w:pos="9016"/>
      </w:tabs>
      <w:adjustRightInd w:val="0"/>
      <w:snapToGrid w:val="0"/>
      <w:spacing w:line="450" w:lineRule="exact"/>
      <w:jc w:val="center"/>
    </w:pPr>
    <w:rPr>
      <w:rFonts w:ascii="宋体" w:hAnsi="宋体"/>
      <w:b/>
      <w:sz w:val="28"/>
    </w:rPr>
  </w:style>
  <w:style w:type="paragraph" w:styleId="14">
    <w:name w:val="List"/>
    <w:basedOn w:val="1"/>
    <w:next w:val="1"/>
    <w:qFormat/>
    <w:uiPriority w:val="0"/>
    <w:pPr>
      <w:ind w:left="200" w:hanging="200" w:hangingChars="200"/>
    </w:pPr>
  </w:style>
  <w:style w:type="paragraph" w:styleId="15">
    <w:name w:val="HTML Preformatted"/>
    <w:basedOn w:val="1"/>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6">
    <w:name w:val="Normal (Web)"/>
    <w:basedOn w:val="1"/>
    <w:uiPriority w:val="0"/>
    <w:pPr>
      <w:widowControl/>
      <w:spacing w:before="100" w:beforeAutospacing="1" w:after="100" w:afterAutospacing="1"/>
      <w:jc w:val="left"/>
    </w:pPr>
    <w:rPr>
      <w:rFonts w:ascii="宋体" w:hAnsi="宋体"/>
      <w:kern w:val="0"/>
      <w:sz w:val="24"/>
    </w:rPr>
  </w:style>
  <w:style w:type="paragraph" w:styleId="17">
    <w:name w:val="Body Text First Indent 2"/>
    <w:basedOn w:val="9"/>
    <w:next w:val="9"/>
    <w:unhideWhenUsed/>
    <w:qFormat/>
    <w:uiPriority w:val="99"/>
    <w:pPr>
      <w:keepNext w:val="0"/>
      <w:keepLines w:val="0"/>
      <w:widowControl w:val="0"/>
      <w:suppressLineNumbers w:val="0"/>
      <w:spacing w:before="156" w:beforeLines="50" w:beforeAutospacing="0" w:after="156" w:afterLines="50" w:afterAutospacing="0" w:line="360" w:lineRule="auto"/>
      <w:ind w:left="0" w:right="0" w:firstLine="420" w:firstLineChars="200"/>
      <w:jc w:val="both"/>
    </w:pPr>
    <w:rPr>
      <w:rFonts w:hint="default" w:ascii="Times New Roman" w:hAnsi="Times New Roman" w:eastAsia="宋体" w:cs="Times New Roman"/>
      <w:kern w:val="2"/>
      <w:sz w:val="24"/>
      <w:szCs w:val="24"/>
      <w:lang w:val="en-US" w:eastAsia="zh-CN" w:bidi="ar-SA"/>
    </w:rPr>
  </w:style>
  <w:style w:type="table" w:styleId="19">
    <w:name w:val="Table Grid"/>
    <w:basedOn w:val="18"/>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uiPriority w:val="0"/>
  </w:style>
  <w:style w:type="paragraph" w:customStyle="1" w:styleId="22">
    <w:name w:val="Char"/>
    <w:basedOn w:val="1"/>
    <w:next w:val="1"/>
    <w:qFormat/>
    <w:uiPriority w:val="0"/>
    <w:pPr>
      <w:spacing w:line="360" w:lineRule="auto"/>
    </w:pPr>
    <w:rPr>
      <w:rFonts w:ascii="Arial" w:hAnsi="Arial" w:eastAsia="黑体"/>
      <w:b/>
      <w:sz w:val="24"/>
    </w:rPr>
  </w:style>
  <w:style w:type="paragraph" w:customStyle="1" w:styleId="23">
    <w:name w:val="样式 表内容 + 行距: 固定值 28 磅"/>
    <w:basedOn w:val="24"/>
    <w:qFormat/>
    <w:uiPriority w:val="0"/>
    <w:pPr>
      <w:widowControl w:val="0"/>
      <w:spacing w:line="240" w:lineRule="auto"/>
      <w:jc w:val="center"/>
    </w:pPr>
    <w:rPr>
      <w:rFonts w:ascii="宋体" w:hAnsi="宋体" w:eastAsia="宋体" w:cs="宋体"/>
      <w:spacing w:val="5"/>
      <w:kern w:val="2"/>
      <w:sz w:val="21"/>
      <w:szCs w:val="20"/>
      <w:lang w:val="en-US" w:eastAsia="zh-CN" w:bidi="ar-SA"/>
    </w:rPr>
  </w:style>
  <w:style w:type="paragraph" w:customStyle="1" w:styleId="24">
    <w:name w:val="表内容"/>
    <w:next w:val="1"/>
    <w:qFormat/>
    <w:uiPriority w:val="0"/>
    <w:pPr>
      <w:widowControl w:val="0"/>
      <w:jc w:val="center"/>
    </w:pPr>
    <w:rPr>
      <w:rFonts w:ascii="宋体" w:hAnsi="宋体" w:eastAsia="宋体" w:cs="Times New Roman"/>
      <w:spacing w:val="5"/>
      <w:kern w:val="2"/>
      <w:sz w:val="21"/>
      <w:szCs w:val="25"/>
      <w:lang w:val="en-US" w:eastAsia="zh-CN" w:bidi="ar-SA"/>
    </w:rPr>
  </w:style>
  <w:style w:type="paragraph" w:customStyle="1" w:styleId="25">
    <w:name w:val="样式 正文缩进 + 宋体 行距: 固定值 22 磅"/>
    <w:basedOn w:val="6"/>
    <w:qFormat/>
    <w:uiPriority w:val="0"/>
    <w:pPr>
      <w:spacing w:line="460" w:lineRule="exact"/>
      <w:ind w:firstLine="0" w:firstLineChars="0"/>
    </w:pPr>
    <w:rPr>
      <w:rFonts w:ascii="Arial Unicode MS" w:hAnsi="Arial Unicode MS" w:cs="宋体"/>
      <w:szCs w:val="20"/>
    </w:rPr>
  </w:style>
  <w:style w:type="paragraph" w:customStyle="1" w:styleId="26">
    <w:name w:val="Default"/>
    <w:basedOn w:val="27"/>
    <w:next w:val="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7">
    <w:name w:val="纯文本1"/>
    <w:basedOn w:val="1"/>
    <w:qFormat/>
    <w:uiPriority w:val="0"/>
    <w:rPr>
      <w:rFonts w:ascii="宋体" w:hAnsi="Courier New" w:cs="Courier New"/>
      <w:kern w:val="2"/>
      <w:sz w:val="21"/>
      <w:szCs w:val="21"/>
    </w:rPr>
  </w:style>
  <w:style w:type="table" w:customStyle="1" w:styleId="28">
    <w:name w:val="Table Normal"/>
    <w:unhideWhenUsed/>
    <w:qFormat/>
    <w:uiPriority w:val="0"/>
    <w:tblPr>
      <w:tblCellMar>
        <w:top w:w="0" w:type="dxa"/>
        <w:left w:w="0" w:type="dxa"/>
        <w:bottom w:w="0" w:type="dxa"/>
        <w:right w:w="0" w:type="dxa"/>
      </w:tblCellMar>
    </w:tblPr>
  </w:style>
  <w:style w:type="paragraph" w:customStyle="1" w:styleId="29">
    <w:name w:val="表格2"/>
    <w:basedOn w:val="1"/>
    <w:next w:val="1"/>
    <w:qFormat/>
    <w:uiPriority w:val="0"/>
    <w:pPr>
      <w:keepNext/>
      <w:autoSpaceDE w:val="0"/>
      <w:autoSpaceDN w:val="0"/>
      <w:adjustRightInd w:val="0"/>
      <w:jc w:val="center"/>
      <w:textAlignment w:val="baseline"/>
    </w:pPr>
    <w:rPr>
      <w:rFonts w:ascii="宋体"/>
      <w:kern w:val="0"/>
      <w:position w:val="-28"/>
      <w:szCs w:val="21"/>
    </w:rPr>
  </w:style>
  <w:style w:type="paragraph" w:customStyle="1" w:styleId="30">
    <w:name w:val="p0"/>
    <w:basedOn w:val="1"/>
    <w:qFormat/>
    <w:uiPriority w:val="0"/>
    <w:pPr>
      <w:widowControl/>
    </w:pPr>
    <w:rPr>
      <w:kern w:val="0"/>
    </w:rPr>
  </w:style>
  <w:style w:type="paragraph" w:customStyle="1" w:styleId="31">
    <w:name w:val="a正文排版格式"/>
    <w:basedOn w:val="1"/>
    <w:qFormat/>
    <w:uiPriority w:val="0"/>
    <w:pPr>
      <w:tabs>
        <w:tab w:val="left" w:pos="2520"/>
      </w:tabs>
      <w:spacing w:line="360" w:lineRule="auto"/>
      <w:ind w:firstLine="200" w:firstLineChars="200"/>
    </w:pPr>
    <w:rPr>
      <w:rFonts w:ascii="Times New Roman" w:hAnsi="Times New Roman" w:eastAsia="仿宋"/>
      <w:spacing w:val="4"/>
      <w:sz w:val="28"/>
      <w:szCs w:val="28"/>
    </w:rPr>
  </w:style>
  <w:style w:type="paragraph" w:customStyle="1" w:styleId="32">
    <w:name w:val="表格"/>
    <w:basedOn w:val="33"/>
    <w:next w:val="1"/>
    <w:qFormat/>
    <w:uiPriority w:val="0"/>
    <w:pPr>
      <w:adjustRightInd w:val="0"/>
      <w:snapToGrid w:val="0"/>
      <w:spacing w:beforeLines="10" w:afterLines="10" w:line="259" w:lineRule="auto"/>
      <w:jc w:val="center"/>
    </w:pPr>
    <w:rPr>
      <w:rFonts w:ascii="宋体"/>
      <w:kern w:val="0"/>
      <w:sz w:val="20"/>
      <w:szCs w:val="21"/>
    </w:rPr>
  </w:style>
  <w:style w:type="paragraph" w:customStyle="1" w:styleId="33">
    <w:name w:val="表"/>
    <w:basedOn w:val="14"/>
    <w:qFormat/>
    <w:uiPriority w:val="0"/>
    <w:pPr>
      <w:keepNext/>
      <w:keepLines/>
      <w:spacing w:line="240" w:lineRule="auto"/>
      <w:ind w:left="0" w:firstLine="0" w:firstLineChars="0"/>
      <w:jc w:val="center"/>
    </w:pPr>
    <w:rPr>
      <w:rFonts w:ascii="Times New Roman" w:hAnsi="Times New Roman" w:eastAsia="宋体"/>
      <w:kern w:val="0"/>
      <w:sz w:val="21"/>
      <w:szCs w:val="21"/>
    </w:rPr>
  </w:style>
  <w:style w:type="table" w:customStyle="1" w:styleId="34">
    <w:name w:val="毛的表格"/>
    <w:basedOn w:val="18"/>
    <w:qFormat/>
    <w:uiPriority w:val="0"/>
    <w:pPr>
      <w:jc w:val="center"/>
    </w:pPr>
    <w:rPr>
      <w:sz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paragraph" w:customStyle="1" w:styleId="35">
    <w:name w:val="Table Paragraph"/>
    <w:basedOn w:val="1"/>
    <w:qFormat/>
    <w:uiPriority w:val="1"/>
    <w:pPr>
      <w:spacing w:line="240" w:lineRule="auto"/>
      <w:ind w:firstLine="0" w:firstLineChars="0"/>
      <w:jc w:val="left"/>
    </w:pPr>
    <w:rPr>
      <w:rFonts w:ascii="Calibri" w:hAnsi="Calibri" w:eastAsia="宋体" w:cs="Times New Roman"/>
      <w:kern w:val="0"/>
      <w:sz w:val="22"/>
      <w:szCs w:val="22"/>
      <w:lang w:eastAsia="en-US"/>
    </w:rPr>
  </w:style>
  <w:style w:type="paragraph" w:customStyle="1" w:styleId="36">
    <w:name w:val="A-z正文"/>
    <w:basedOn w:val="1"/>
    <w:qFormat/>
    <w:uiPriority w:val="0"/>
    <w:pPr>
      <w:spacing w:line="360" w:lineRule="auto"/>
      <w:ind w:firstLine="200" w:firstLineChars="200"/>
    </w:pPr>
    <w:rPr>
      <w:rFonts w:ascii="Times New Roman" w:hAnsi="Times New Roman" w:cs="宋体"/>
      <w:sz w:val="24"/>
      <w:szCs w:val="20"/>
    </w:rPr>
  </w:style>
  <w:style w:type="paragraph" w:customStyle="1" w:styleId="37">
    <w:name w:val="常用表头样式"/>
    <w:next w:val="1"/>
    <w:qFormat/>
    <w:uiPriority w:val="0"/>
    <w:pPr>
      <w:widowControl/>
      <w:overflowPunct w:val="0"/>
      <w:autoSpaceDE w:val="0"/>
      <w:autoSpaceDN w:val="0"/>
      <w:adjustRightInd w:val="0"/>
      <w:spacing w:line="360" w:lineRule="auto"/>
      <w:jc w:val="center"/>
      <w:textAlignment w:val="baseline"/>
    </w:pPr>
    <w:rPr>
      <w:rFonts w:ascii="黑体" w:hAnsi="Times New Roman" w:eastAsia="仿宋_GB2312" w:cs="Times New Roman"/>
      <w:b/>
      <w:kern w:val="2"/>
      <w:sz w:val="24"/>
      <w:szCs w:val="21"/>
      <w:lang w:val="en-US" w:eastAsia="zh-CN" w:bidi="ar-SA"/>
    </w:rPr>
  </w:style>
  <w:style w:type="paragraph" w:customStyle="1" w:styleId="38">
    <w:name w:val="【正文】表"/>
    <w:basedOn w:val="1"/>
    <w:qFormat/>
    <w:uiPriority w:val="0"/>
    <w:pPr>
      <w:spacing w:line="520" w:lineRule="exact"/>
      <w:ind w:firstLine="1044" w:firstLineChars="200"/>
    </w:pPr>
    <w:rPr>
      <w:rFonts w:ascii="Times New Roman" w:hAnsi="Times New Roman"/>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62</Pages>
  <Words>33309</Words>
  <Characters>36737</Characters>
  <Lines>0</Lines>
  <Paragraphs>0</Paragraphs>
  <TotalTime>0</TotalTime>
  <ScaleCrop>false</ScaleCrop>
  <LinksUpToDate>false</LinksUpToDate>
  <CharactersWithSpaces>37305</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2024-10-16T08:44:00Z</dcterms:created>
  <dc:creator>人不得瑟ˇ枉少年</dc:creator>
  <cp:lastModifiedBy>人不得瑟ˇ枉少年</cp:lastModifiedBy>
  <dcterms:modified xsi:type="dcterms:W3CDTF">2024-10-16T08:46:52Z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CAB6DB8EA63C4FC6B4D03A2F3F599A17_11</vt:lpwstr>
  </property>
</Properties>
</file>